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after="160"/>
      </w:pPr>
      <w:r>
        <w:rPr>
          <w:rFonts w:ascii="Aptos Display" w:hAnsi="Aptos Display"/>
          <w:b/>
          <w:color w:val="174A6E"/>
          <w:sz w:val="40"/>
        </w:rPr>
        <w:t>South Africa International Tax and Transfer Pricing Review</w:t>
      </w:r>
    </w:p>
    <w:p>
      <w:pPr>
        <w:spacing w:after="40"/>
      </w:pPr>
      <w:r/>
      <w:r>
        <w:rPr>
          <w:b/>
        </w:rPr>
        <w:t>Information current to:</w:t>
      </w:r>
      <w:r>
        <w:t xml:space="preserve"> 27 September 2026</w:t>
      </w:r>
    </w:p>
    <w:p>
      <w:pPr>
        <w:spacing w:after="40"/>
      </w:pPr>
      <w:r/>
      <w:r>
        <w:rPr>
          <w:b/>
        </w:rPr>
        <w:t>Currency and tax year:</w:t>
      </w:r>
      <w:r>
        <w:t xml:space="preserve"> South African rand (ZAR); corporate year of assessment depends on the taxpayer's financial year.</w:t>
      </w:r>
    </w:p>
    <w:p>
      <w:pPr>
        <w:pStyle w:val="Heading1"/>
      </w:pPr>
      <w:r>
        <w:t>Executive summary</w:t>
      </w:r>
    </w:p>
    <w:p>
      <w:r>
        <w:t>South Africa applies a 27% corporate income-tax rate for years of assessment ending from 1 April 2026 through 31 March 2027. Residents are generally taxed on worldwide income; non-residents are taxed on South African-source income, subject to treaty limits. Domestic headline withholding rates are 20% on dividends and 15% on royalties and interest, with exemptions and treaty reductions available. Section 31 of the Income Tax Act supplies the cross-border related-party arm's-length rule.</w:t>
      </w:r>
    </w:p>
    <w:p>
      <w:r>
        <w:t>The archive contains the official original Income Tax Act and a 2026 amendment, but not a current consolidated Act. Confirm the operative wording of each provision and the applicable treaty before implementation. Priority issues are local taxable presence, payment classification, treaty procedure, and contemporaneous support for financing and other controlled transactions.</w:t>
      </w:r>
    </w:p>
    <w:p>
      <w:pPr>
        <w:pStyle w:val="Heading1"/>
      </w:pPr>
      <w:r>
        <w:t>1. Legal framework and scope</w:t>
      </w:r>
    </w:p>
    <w:p>
      <w:r>
        <w:t>The principal legislation is the Income Tax Act 58 of 1962, as amended, together with the Tax Administration Act 28 of 2011. The SARS 2026 tax guide confirms the 27% rate for the stated assessment period. The saved full Act is the original 1962 text, not a consolidation; amendments must be read alongside it. This review is limited to corporate income tax, international tax and transfer pricing. VAT, customs, exchange control, sanctions and individual taxation are outside scope.</w:t>
      </w:r>
    </w:p>
    <w:p>
      <w:r>
        <w:t>South African tax residence generally brings worldwide income into the domestic tax base. Non-resident companies are generally taxable on South African-source income and income connected with a South African permanent establishment under the applicable treaty. Foreign-tax relief is available under section 6quat, subject to statutory limits. Section 9D contains controlled-foreign-company rules; foreign-dividend treatment is governed in part by section 10(1)(k).</w:t>
      </w:r>
    </w:p>
    <w:p>
      <w:pPr>
        <w:pStyle w:val="Heading1"/>
      </w:pPr>
      <w:r>
        <w:t>2. Permanent establishment and taxable nexus</w:t>
      </w:r>
    </w:p>
    <w:p>
      <w:r>
        <w:t>Domestic source rules and treaty permanent-establishment rules must be tested separately. Examine fixed places, branches, dependent agents, construction or installation activity, personnel and the attribution of income to any local establishment. A treaty may restrict South Africa's domestic taxing right or define a PE more narrowly. If a PE exists, assess registration, local returns, profit attribution and expense allocation.</w:t>
      </w:r>
    </w:p>
    <w:p>
      <w:pPr>
        <w:pStyle w:val="Heading1"/>
      </w:pPr>
      <w:r>
        <w:t>3. Withholding tax and cross-border payments</w:t>
      </w:r>
    </w:p>
    <w:tbl>
      <w:tblPr>
        <w:tblW w:type="auto" w:w="0"/>
        <w:jc w:val="center"/>
        <w:tblLayout w:type="autofit"/>
        <w:tblLook w:firstColumn="1" w:firstRow="1" w:lastColumn="0" w:lastRow="0" w:noHBand="0" w:noVBand="1" w:val="04A0"/>
      </w:tblPr>
      <w:tblGrid>
        <w:gridCol w:w="3389"/>
        <w:gridCol w:w="3389"/>
        <w:gridCol w:w="3389"/>
      </w:tblGrid>
      <w:tr>
        <w:tc>
          <w:tcPr>
            <w:tcW w:type="dxa" w:w="3389"/>
            <w:vAlign w:val="center"/>
            <w:tcMar>
              <w:top w:w="90" w:type="dxa"/>
              <w:start w:w="110" w:type="dxa"/>
              <w:bottom w:w="90" w:type="dxa"/>
              <w:end w:w="110" w:type="dxa"/>
            </w:tcMar>
            <w:shd w:fill="174A6E"/>
          </w:tcPr>
          <w:p>
            <w:pPr>
              <w:spacing w:after="0" w:line="240" w:lineRule="auto"/>
            </w:pPr>
            <w:r>
              <w:rPr>
                <w:rFonts w:ascii="Aptos" w:hAnsi="Aptos"/>
                <w:b/>
                <w:color w:val="FFFFFF"/>
                <w:sz w:val="16"/>
              </w:rPr>
              <w:t>Payment</w:t>
            </w:r>
          </w:p>
        </w:tc>
        <w:tc>
          <w:tcPr>
            <w:tcW w:type="dxa" w:w="3389"/>
            <w:vAlign w:val="center"/>
            <w:tcMar>
              <w:top w:w="90" w:type="dxa"/>
              <w:start w:w="110" w:type="dxa"/>
              <w:bottom w:w="90" w:type="dxa"/>
              <w:end w:w="110" w:type="dxa"/>
            </w:tcMar>
            <w:shd w:fill="174A6E"/>
          </w:tcPr>
          <w:p>
            <w:pPr>
              <w:spacing w:after="0" w:line="240" w:lineRule="auto"/>
            </w:pPr>
            <w:r>
              <w:rPr>
                <w:rFonts w:ascii="Aptos" w:hAnsi="Aptos"/>
                <w:b/>
                <w:color w:val="FFFFFF"/>
                <w:sz w:val="16"/>
              </w:rPr>
              <w:t>Domestic starting point</w:t>
            </w:r>
          </w:p>
        </w:tc>
        <w:tc>
          <w:tcPr>
            <w:tcW w:type="dxa" w:w="3389"/>
            <w:vAlign w:val="center"/>
            <w:tcMar>
              <w:top w:w="90" w:type="dxa"/>
              <w:start w:w="110" w:type="dxa"/>
              <w:bottom w:w="90" w:type="dxa"/>
              <w:end w:w="110" w:type="dxa"/>
            </w:tcMar>
            <w:shd w:fill="174A6E"/>
          </w:tcPr>
          <w:p>
            <w:pPr>
              <w:spacing w:after="0" w:line="240" w:lineRule="auto"/>
            </w:pPr>
            <w:r>
              <w:rPr>
                <w:rFonts w:ascii="Aptos" w:hAnsi="Aptos"/>
                <w:b/>
                <w:color w:val="FFFFFF"/>
                <w:sz w:val="16"/>
              </w:rPr>
              <w:t>Treaty and practical point</w:t>
            </w:r>
          </w:p>
        </w:tc>
      </w:tr>
      <w:tr>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Dividends</w:t>
            </w:r>
          </w:p>
        </w:tc>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20% dividends tax.</w:t>
            </w:r>
          </w:p>
        </w:tc>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Exemptions and treaty-reduced rates may apply; document beneficial ownership and submit the required declaration.</w:t>
            </w:r>
          </w:p>
        </w:tc>
      </w:tr>
      <w:tr>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Interest</w:t>
            </w:r>
          </w:p>
        </w:tc>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15% on South African-source interest payable to non-residents.</w:t>
            </w:r>
          </w:p>
        </w:tc>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Statutory exemptions include specified government or bank interest and listed debt; confirm conditions and treaty.</w:t>
            </w:r>
          </w:p>
        </w:tc>
      </w:tr>
      <w:tr>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Royalties</w:t>
            </w:r>
          </w:p>
        </w:tc>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15% on South African-source royalties payable to non-residents.</w:t>
            </w:r>
          </w:p>
        </w:tc>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Treaty relief and statutory exemptions may apply; identify the rights transferred.</w:t>
            </w:r>
          </w:p>
        </w:tc>
      </w:tr>
      <w:tr>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Services</w:t>
            </w:r>
          </w:p>
        </w:tc>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No single blanket rate for all service fees.</w:t>
            </w:r>
          </w:p>
        </w:tc>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Determine source, local performance, PE/effective connection and whether the payment is in substance a royalty or another specified category.</w:t>
            </w:r>
          </w:p>
        </w:tc>
      </w:tr>
    </w:tbl>
    <w:p>
      <w:pPr>
        <w:spacing w:after="20"/>
      </w:pPr>
    </w:p>
    <w:p>
      <w:r>
        <w:t>The payer's withholding and reporting obligations depend on the payment category and any exemption or treaty relief. Obtain residence and beneficial-owner evidence before applying a reduced rate.</w:t>
      </w:r>
    </w:p>
    <w:p>
      <w:pPr>
        <w:pStyle w:val="Heading1"/>
      </w:pPr>
      <w:r>
        <w:t>4. Royalties, software and services</w:t>
      </w:r>
    </w:p>
    <w:p>
      <w:r>
        <w:t>Separate a copyright or know-how licence from hosted software, SaaS, implementation, support and consulting. The contractual rights, deliverables, place of performance and local personnel matter for source, withholding and PE analysis. Keep the agreement, statement of work, IP schedule, evidence of delivery and allocation of bundled fees.</w:t>
      </w:r>
    </w:p>
    <w:p>
      <w:pPr>
        <w:pStyle w:val="Heading1"/>
      </w:pPr>
      <w:r>
        <w:t>5. Treaties and double-tax relief</w:t>
      </w:r>
    </w:p>
    <w:p>
      <w:r>
        <w:t>South Africa's treaty network may reduce withholding or limit taxation of business profits absent a PE. Check the treaty in force for the relevant period, residence qualification, beneficial ownership, limitation or anti-abuse clauses, and procedural filings. Section 6quat provides domestic foreign-tax relief within statutory limits. Preserve proof of foreign tax and reconcile the credit to the income concerned.</w:t>
      </w:r>
    </w:p>
    <w:p>
      <w:pPr>
        <w:pStyle w:val="Heading1"/>
      </w:pPr>
      <w:r>
        <w:t>6. Transfer pricing</w:t>
      </w:r>
    </w:p>
    <w:p>
      <w:r>
        <w:t>Section 31 of the Income Tax Act applies to cross-border transactions, operations, schemes, agreements or understandings between connected persons where the terms differ from arm's length. It permits adjustment of taxable income or deductions to reflect arm's-length conditions. Financial assistance and debt pricing require particular attention; do not treat a fixed debt-to-equity ratio as a safe harbour without checking current SARS guidance and facts.</w:t>
      </w:r>
    </w:p>
    <w:p>
      <w:r>
        <w:t>The Tax Administration Act and SARS rules provide international tax reporting, including CbC reporting for qualifying multinational groups. Maintain agreements, delineation of transactions, functional analysis, benchmarking, benefit evidence for services and support for financing terms. Confirm current thresholds, notification deadlines and file-submission requirements against current SARS guidance: the local archive is not a complete consolidated rules set.</w:t>
      </w:r>
    </w:p>
    <w:p>
      <w:pPr>
        <w:pStyle w:val="Heading1"/>
      </w:pPr>
      <w:r>
        <w:t>7. Priority actions</w:t>
      </w:r>
    </w:p>
    <w:p>
      <w:pPr>
        <w:pStyle w:val="ListBullet"/>
        <w:spacing w:after="40"/>
      </w:pPr>
      <w:r>
        <w:t>Confirm the current consolidated wording of sections 6quat, 9D, 31 and the withholding provisions, including 2026 amendments.</w:t>
      </w:r>
    </w:p>
    <w:p>
      <w:pPr>
        <w:pStyle w:val="ListBullet"/>
        <w:spacing w:after="40"/>
      </w:pPr>
      <w:r>
        <w:t>Map local people, premises, agents and projects against domestic source and treaty PE rules.</w:t>
      </w:r>
    </w:p>
    <w:p>
      <w:pPr>
        <w:pStyle w:val="ListBullet"/>
        <w:spacing w:after="40"/>
      </w:pPr>
      <w:r>
        <w:t>Classify each outbound payment before applying withholding; collect treaty and beneficial-owner documentation in advance.</w:t>
      </w:r>
    </w:p>
    <w:p>
      <w:pPr>
        <w:pStyle w:val="ListBullet"/>
        <w:spacing w:after="40"/>
      </w:pPr>
      <w:r>
        <w:t>Refresh related-party pricing and reporting controls, especially for loans, guarantees, royalties and intra-group services.</w:t>
      </w:r>
    </w:p>
    <w:p>
      <w:pPr>
        <w:pStyle w:val="Heading1"/>
      </w:pPr>
      <w:r>
        <w:t>Sources reviewed</w:t>
      </w:r>
    </w:p>
    <w:p>
      <w:pPr>
        <w:pStyle w:val="ListBullet"/>
        <w:spacing w:after="40"/>
      </w:pPr>
      <w:r>
        <w:t>South African Revenue Service, Budget 2026 FAQs (https://www.sars.gov.za/about/sars-tax-and-customs-system/budget/budget-2026-frequently-asked-questions/) — corporate and non-resident withholding rates.</w:t>
      </w:r>
    </w:p>
    <w:p>
      <w:pPr>
        <w:pStyle w:val="ListBullet"/>
        <w:spacing w:after="40"/>
      </w:pPr>
      <w:r>
        <w:t>SARS, Interest and Dividends (https://www.sars.gov.za/tax-rates/income-tax/interest-and-dividends/) — interest withholding and dividends tax.</w:t>
      </w:r>
    </w:p>
    <w:p>
      <w:pPr>
        <w:pStyle w:val="ListBullet"/>
        <w:spacing w:after="40"/>
      </w:pPr>
      <w:r>
        <w:t>SARS, 2026 Budget Tax Guide (https://www.sars.gov.za/budget-tax-guide-2026-web-version/) — current rates and withholding overview.</w:t>
      </w:r>
    </w:p>
    <w:p>
      <w:pPr>
        <w:pStyle w:val="ListBullet"/>
        <w:spacing w:after="40"/>
      </w:pPr>
      <w:r>
        <w:t>Government of South Africa, Income Tax Act 58 of 1962 (https://www.gov.za/documents/income-tax-act-29-may-1962-0000) — official original Act; not a current consolidation.</w:t>
      </w:r>
    </w:p>
    <w:p>
      <w:pPr>
        <w:pStyle w:val="ListBullet"/>
        <w:spacing w:after="40"/>
      </w:pPr>
      <w:r>
        <w:t>South African Revenue Service (https://www.sars.gov.za/) — current tax administration and guidance; current consolidated legislative text should be checked before reliance.</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color w:val="263238"/>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174A6E"/>
      <w:sz w:val="2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23658A"/>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International Tax and Transfer Pricing Review</dc:title>
  <dc:subject>International tax and transfer pricing country review</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