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Saudi Arabia International Tax and Transfer Pricing Review</w:t>
      </w:r>
    </w:p>
    <w:p>
      <w:pPr>
        <w:spacing w:after="160"/>
      </w:pPr>
      <w:r>
        <w:rPr>
          <w:b/>
        </w:rPr>
        <w:t xml:space="preserve">Information current to: </w:t>
      </w:r>
      <w:r>
        <w:t xml:space="preserve">27 September 2026  </w:t>
      </w:r>
      <w:r>
        <w:rPr>
          <w:b/>
        </w:rPr>
        <w:t xml:space="preserve">Currency and tax year: </w:t>
      </w:r>
      <w:r>
        <w:t>Saudi riyal (SAR); the applicable tax period follows the taxpayer's accounting period.</w:t>
      </w:r>
    </w:p>
    <w:p>
      <w:pPr>
        <w:pStyle w:val="Heading1"/>
      </w:pPr>
      <w:r>
        <w:t>Executive summary</w:t>
      </w:r>
    </w:p>
    <w:p>
      <w:r>
        <w:t>Saudi Arabia generally applies income tax to the foreign ownership share of a Saudi business, while Saudi and qualifying GCC ownership is generally within the Zakat regime. The principal corporate tax rate identified in the country materials is 20%; oil and hydrocarbon activities are subject to higher sector rates. The ownership split and legal form should therefore be confirmed before modelling the effective burden.</w:t>
      </w:r>
    </w:p>
    <w:p>
      <w:r>
        <w:t>For inbound businesses, the key questions are whether the activity creates a Saudi permanent establishment, how a payment to a non-resident is classified for withholding tax, and whether a related-party transaction is within the ZATCA transfer-pricing rules. The English tax-law PDF is available locally; the official transfer-pricing Bylaws and their 2023 amendment are available in Arabic, so the English guidance should be checked against those texts for consequential matters.</w:t>
      </w:r>
    </w:p>
    <w:p>
      <w:pPr>
        <w:pStyle w:val="Heading1"/>
      </w:pPr>
      <w:r>
        <w:t>1. Legal framework and scope</w:t>
      </w:r>
    </w:p>
    <w:p>
      <w:r>
        <w:t>The core corporate tax legislation is the Income Tax Law, Royal Decree No. M/1 of 1425H (2004), together with its Executive Regulations. ZATCA administers income tax, withholding tax, Zakat and transfer pricing. Zakat is a separate regime and should not be presented as corporate income tax.</w:t>
      </w:r>
    </w:p>
    <w:p>
      <w:r>
        <w:t>The Income Tax Law applies to specified non-Saudi ownership and non-resident activities. In a mixed ownership company, the tax and Zakat bases may apply to different ownership shares. The country dossier records a 20% general income-tax rate and higher rates of 50%-85% for specified oil and hydrocarbon activities. Confirm the ownership, activity and current statutory classification before applying a rate.</w:t>
      </w:r>
    </w:p>
    <w:p>
      <w:r>
        <w:t>The Law and treaty network govern residence, source, permanent establishments, withholding and relief from double taxation. The local dossier identifies Articles 4-5 on residence, permanent establishments and source rules, Article 68 on withholding and the applicable treaty as principal starting points.</w:t>
      </w:r>
    </w:p>
    <w:p>
      <w:pPr>
        <w:pStyle w:val="Heading1"/>
      </w:pPr>
      <w:r>
        <w:t>2. Permanent establishment and taxable nexus</w:t>
      </w:r>
    </w:p>
    <w:p>
      <w:r>
        <w:t>Articles 4-5 of the Income Tax Law address residence, permanent establishments and Saudi-source income. Review fixed business premises, employees and dependent agents, authority to negotiate or conclude contracts, construction or installation projects, and the duration and substance of local services.</w:t>
      </w:r>
    </w:p>
    <w:p>
      <w:r>
        <w:t>A treaty may modify the domestic result. If a permanent establishment exists, the foreign enterprise should assess registration, attribution of profits and expenses, returns and supporting accounts. A local project or staff presence should be reviewed before deployment, rather than only when a filing is due.</w:t>
      </w:r>
    </w:p>
    <w:p>
      <w:pPr>
        <w:pStyle w:val="Heading1"/>
      </w:pPr>
      <w:r>
        <w:t>3. Withholding tax and cross border payments</w:t>
      </w:r>
    </w:p>
    <w:tbl>
      <w:tblPr>
        <w:tblW w:type="auto" w:w="0"/>
        <w:jc w:val="center"/>
        <w:tblLayout w:type="autofit"/>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27"/>
        <w:gridCol w:w="3427"/>
        <w:gridCol w:w="3427"/>
      </w:tblGrid>
      <w:tr>
        <w:tc>
          <w:tcPr>
            <w:tcW w:type="dxa" w:w="3427"/>
            <w:shd w:fill="1F4E78"/>
            <w:tcMar>
              <w:top w:w="90" w:type="dxa"/>
              <w:start w:w="105" w:type="dxa"/>
              <w:bottom w:w="90" w:type="dxa"/>
              <w:end w:w="105" w:type="dxa"/>
            </w:tcMar>
            <w:vAlign w:val="center"/>
          </w:tcPr>
          <w:p>
            <w:r>
              <w:rPr>
                <w:b/>
                <w:color w:val="FFFFFF"/>
                <w:sz w:val="16"/>
              </w:rPr>
              <w:t>Payment to a non-resident</w:t>
            </w:r>
          </w:p>
        </w:tc>
        <w:tc>
          <w:tcPr>
            <w:tcW w:type="dxa" w:w="3427"/>
            <w:shd w:fill="1F4E78"/>
            <w:tcMar>
              <w:top w:w="90" w:type="dxa"/>
              <w:start w:w="105" w:type="dxa"/>
              <w:bottom w:w="90" w:type="dxa"/>
              <w:end w:w="105" w:type="dxa"/>
            </w:tcMar>
            <w:vAlign w:val="center"/>
          </w:tcPr>
          <w:p>
            <w:r>
              <w:rPr>
                <w:b/>
                <w:color w:val="FFFFFF"/>
                <w:sz w:val="16"/>
              </w:rPr>
              <w:t>Rate noted in country materials</w:t>
            </w:r>
          </w:p>
        </w:tc>
        <w:tc>
          <w:tcPr>
            <w:tcW w:type="dxa" w:w="3427"/>
            <w:shd w:fill="1F4E78"/>
            <w:tcMar>
              <w:top w:w="90" w:type="dxa"/>
              <w:start w:w="105" w:type="dxa"/>
              <w:bottom w:w="90" w:type="dxa"/>
              <w:end w:w="105" w:type="dxa"/>
            </w:tcMar>
            <w:vAlign w:val="center"/>
          </w:tcPr>
          <w:p>
            <w:r>
              <w:rPr>
                <w:b/>
                <w:color w:val="FFFFFF"/>
                <w:sz w:val="16"/>
              </w:rPr>
              <w:t>Practical review</w:t>
            </w:r>
          </w:p>
        </w:tc>
      </w:tr>
      <w:tr>
        <w:tc>
          <w:tcPr>
            <w:tcW w:type="dxa" w:w="3427"/>
            <w:tcMar>
              <w:top w:w="90" w:type="dxa"/>
              <w:start w:w="105" w:type="dxa"/>
              <w:bottom w:w="90" w:type="dxa"/>
              <w:end w:w="105" w:type="dxa"/>
            </w:tcMar>
            <w:vAlign w:val="center"/>
          </w:tcPr>
          <w:p>
            <w:r>
              <w:rPr>
                <w:sz w:val="16"/>
              </w:rPr>
              <w:t>Dividends</w:t>
            </w:r>
          </w:p>
        </w:tc>
        <w:tc>
          <w:tcPr>
            <w:tcW w:type="dxa" w:w="3427"/>
            <w:tcMar>
              <w:top w:w="90" w:type="dxa"/>
              <w:start w:w="105" w:type="dxa"/>
              <w:bottom w:w="90" w:type="dxa"/>
              <w:end w:w="105" w:type="dxa"/>
            </w:tcMar>
            <w:vAlign w:val="center"/>
          </w:tcPr>
          <w:p>
            <w:r>
              <w:rPr>
                <w:sz w:val="16"/>
              </w:rPr>
              <w:t>5%</w:t>
            </w:r>
          </w:p>
        </w:tc>
        <w:tc>
          <w:tcPr>
            <w:tcW w:type="dxa" w:w="3427"/>
            <w:tcMar>
              <w:top w:w="90" w:type="dxa"/>
              <w:start w:w="105" w:type="dxa"/>
              <w:bottom w:w="90" w:type="dxa"/>
              <w:end w:w="105" w:type="dxa"/>
            </w:tcMar>
            <w:vAlign w:val="center"/>
          </w:tcPr>
          <w:p>
            <w:r>
              <w:rPr>
                <w:sz w:val="16"/>
              </w:rPr>
              <w:t>Check the treaty rate, recipient residence, beneficial ownership and supporting documents.</w:t>
            </w:r>
          </w:p>
        </w:tc>
      </w:tr>
      <w:tr>
        <w:tc>
          <w:tcPr>
            <w:tcW w:type="dxa" w:w="3427"/>
            <w:tcMar>
              <w:top w:w="90" w:type="dxa"/>
              <w:start w:w="105" w:type="dxa"/>
              <w:bottom w:w="90" w:type="dxa"/>
              <w:end w:w="105" w:type="dxa"/>
            </w:tcMar>
            <w:vAlign w:val="center"/>
            <w:shd w:fill="EDF3F7"/>
          </w:tcPr>
          <w:p>
            <w:r>
              <w:rPr>
                <w:sz w:val="16"/>
              </w:rPr>
              <w:t>Royalties</w:t>
            </w:r>
          </w:p>
        </w:tc>
        <w:tc>
          <w:tcPr>
            <w:tcW w:type="dxa" w:w="3427"/>
            <w:tcMar>
              <w:top w:w="90" w:type="dxa"/>
              <w:start w:w="105" w:type="dxa"/>
              <w:bottom w:w="90" w:type="dxa"/>
              <w:end w:w="105" w:type="dxa"/>
            </w:tcMar>
            <w:vAlign w:val="center"/>
            <w:shd w:fill="EDF3F7"/>
          </w:tcPr>
          <w:p>
            <w:r>
              <w:rPr>
                <w:sz w:val="16"/>
              </w:rPr>
              <w:t>15%</w:t>
            </w:r>
          </w:p>
        </w:tc>
        <w:tc>
          <w:tcPr>
            <w:tcW w:type="dxa" w:w="3427"/>
            <w:tcMar>
              <w:top w:w="90" w:type="dxa"/>
              <w:start w:w="105" w:type="dxa"/>
              <w:bottom w:w="90" w:type="dxa"/>
              <w:end w:w="105" w:type="dxa"/>
            </w:tcMar>
            <w:vAlign w:val="center"/>
            <w:shd w:fill="EDF3F7"/>
          </w:tcPr>
          <w:p>
            <w:r>
              <w:rPr>
                <w:sz w:val="16"/>
              </w:rPr>
              <w:t>Confirm that the payment is a royalty under domestic law and the treaty; distinguish services and software access.</w:t>
            </w:r>
          </w:p>
        </w:tc>
      </w:tr>
      <w:tr>
        <w:tc>
          <w:tcPr>
            <w:tcW w:type="dxa" w:w="3427"/>
            <w:tcMar>
              <w:top w:w="90" w:type="dxa"/>
              <w:start w:w="105" w:type="dxa"/>
              <w:bottom w:w="90" w:type="dxa"/>
              <w:end w:w="105" w:type="dxa"/>
            </w:tcMar>
            <w:vAlign w:val="center"/>
          </w:tcPr>
          <w:p>
            <w:r>
              <w:rPr>
                <w:sz w:val="16"/>
              </w:rPr>
              <w:t>Management fees</w:t>
            </w:r>
          </w:p>
        </w:tc>
        <w:tc>
          <w:tcPr>
            <w:tcW w:type="dxa" w:w="3427"/>
            <w:tcMar>
              <w:top w:w="90" w:type="dxa"/>
              <w:start w:w="105" w:type="dxa"/>
              <w:bottom w:w="90" w:type="dxa"/>
              <w:end w:w="105" w:type="dxa"/>
            </w:tcMar>
            <w:vAlign w:val="center"/>
          </w:tcPr>
          <w:p>
            <w:r>
              <w:rPr>
                <w:sz w:val="16"/>
              </w:rPr>
              <w:t>20%</w:t>
            </w:r>
          </w:p>
        </w:tc>
        <w:tc>
          <w:tcPr>
            <w:tcW w:type="dxa" w:w="3427"/>
            <w:tcMar>
              <w:top w:w="90" w:type="dxa"/>
              <w:start w:w="105" w:type="dxa"/>
              <w:bottom w:w="90" w:type="dxa"/>
              <w:end w:w="105" w:type="dxa"/>
            </w:tcMar>
            <w:vAlign w:val="center"/>
          </w:tcPr>
          <w:p>
            <w:r>
              <w:rPr>
                <w:sz w:val="16"/>
              </w:rPr>
              <w:t>Confirm service category, place of performance and treaty treatment.</w:t>
            </w:r>
          </w:p>
        </w:tc>
      </w:tr>
      <w:tr>
        <w:tc>
          <w:tcPr>
            <w:tcW w:type="dxa" w:w="3427"/>
            <w:tcMar>
              <w:top w:w="90" w:type="dxa"/>
              <w:start w:w="105" w:type="dxa"/>
              <w:bottom w:w="90" w:type="dxa"/>
              <w:end w:w="105" w:type="dxa"/>
            </w:tcMar>
            <w:vAlign w:val="center"/>
            <w:shd w:fill="EDF3F7"/>
          </w:tcPr>
          <w:p>
            <w:r>
              <w:rPr>
                <w:sz w:val="16"/>
              </w:rPr>
              <w:t>Interest and other payments</w:t>
            </w:r>
          </w:p>
        </w:tc>
        <w:tc>
          <w:tcPr>
            <w:tcW w:type="dxa" w:w="3427"/>
            <w:tcMar>
              <w:top w:w="90" w:type="dxa"/>
              <w:start w:w="105" w:type="dxa"/>
              <w:bottom w:w="90" w:type="dxa"/>
              <w:end w:w="105" w:type="dxa"/>
            </w:tcMar>
            <w:vAlign w:val="center"/>
            <w:shd w:fill="EDF3F7"/>
          </w:tcPr>
          <w:p>
            <w:r>
              <w:rPr>
                <w:sz w:val="16"/>
              </w:rPr>
              <w:t>Rate depends on payment category</w:t>
            </w:r>
          </w:p>
        </w:tc>
        <w:tc>
          <w:tcPr>
            <w:tcW w:type="dxa" w:w="3427"/>
            <w:tcMar>
              <w:top w:w="90" w:type="dxa"/>
              <w:start w:w="105" w:type="dxa"/>
              <w:bottom w:w="90" w:type="dxa"/>
              <w:end w:w="105" w:type="dxa"/>
            </w:tcMar>
            <w:vAlign w:val="center"/>
            <w:shd w:fill="EDF3F7"/>
          </w:tcPr>
          <w:p>
            <w:r>
              <w:rPr>
                <w:sz w:val="16"/>
              </w:rPr>
              <w:t>Classify against the detailed Article 68 schedule and the relevant treaty before payment.</w:t>
            </w:r>
          </w:p>
        </w:tc>
      </w:tr>
    </w:tbl>
    <w:p>
      <w:pPr>
        <w:spacing w:after="0"/>
      </w:pPr>
    </w:p>
    <w:p>
      <w:pPr>
        <w:pStyle w:val="Heading1"/>
      </w:pPr>
      <w:r>
        <w:t>4. Royalties software and services</w:t>
      </w:r>
    </w:p>
    <w:p>
      <w:r>
        <w:t>Payments for software, intellectual property, cloud access, equipment, technical support and implementation may fall into different withholding categories. Examine the rights transferred, whether the customer can reproduce or exploit the IP, the actual service performed and any bundled elements.</w:t>
      </w:r>
    </w:p>
    <w:p>
      <w:r>
        <w:t>Keep the contract, invoices, deliverables, acceptance evidence, tax residence certificate and treaty-relief documents together. A payment label alone does not determine whether it is a royalty, a service fee or business profit attributable to a permanent establishment.</w:t>
      </w:r>
    </w:p>
    <w:p>
      <w:pPr>
        <w:pStyle w:val="Heading1"/>
      </w:pPr>
      <w:r>
        <w:t>5. Treaties and double tax relief</w:t>
      </w:r>
    </w:p>
    <w:p>
      <w:r>
        <w:t>Before applying a treaty rate, establish the recipient's residence and eligibility, identify the relevant treaty article and secure the documents required by the payer and ZATCA. Check beneficial ownership and anti-abuse conditions where the treaty or domestic procedure requires them.</w:t>
      </w:r>
    </w:p>
    <w:p>
      <w:r>
        <w:t>The materials identify relief from double taxation in the Law. Retain proof of foreign tax and reconcile it to the income reported in Saudi Arabia. Treaty claims and credit calculations should be supported transaction by transaction.</w:t>
      </w:r>
    </w:p>
    <w:p>
      <w:pPr>
        <w:pStyle w:val="Heading1"/>
      </w:pPr>
      <w:r>
        <w:t>6. Transfer pricing</w:t>
      </w:r>
    </w:p>
    <w:p>
      <w:r>
        <w:t>The Transfer Pricing Bylaws apply the arm's-length principle and are administered by ZATCA. The official Arabic 2019 Bylaws and Board Resolution No. 8-2-23 (2023 amendment) are saved locally; the amendment extends specified transfer-pricing requirements to Zakat payers, including master-file and local-file requirements from tax periods beginning in 2024. The archive does not contain an official consolidated English Bylaws text.</w:t>
      </w:r>
    </w:p>
    <w:p>
      <w:r>
        <w:t>The Bylaws provide for recognised OECD-aligned methods, controlled-transaction disclosure, a local file, a master file, country-by-country reporting and advance pricing agreements. The country dossier records a SAR 48 million threshold for local/master file requirements, SAR 6 million for certain transaction categories and SAR 3.2 billion consolidated group revenue for CbCR. Confirm the exact aggregation, exclusions, filing deadlines and transitional application in the Arabic text and current ZATCA procedures.</w:t>
      </w:r>
    </w:p>
    <w:p>
      <w:r>
        <w:t>Screen related-party sales, services, royalties, financing, guarantees, commodities and restructurings. Maintain a functional analysis, intercompany agreements, benefit evidence for services, pricing calculations and comparable data. The rules cover Zakat taxpayers as specified in the amendment, so do not limit the screening to income-tax payers. Evaluate APA or treaty MAP processes for material recurring exposure.</w:t>
      </w:r>
    </w:p>
    <w:p>
      <w:pPr>
        <w:pStyle w:val="Heading1"/>
      </w:pPr>
      <w:r>
        <w:t>7. Priority actions</w:t>
      </w:r>
    </w:p>
    <w:p>
      <w:pPr>
        <w:pStyle w:val="ListBullet"/>
      </w:pPr>
      <w:r>
        <w:t>Confirm ownership, activity and the split between income tax and Zakat before modelling the Saudi tax base.</w:t>
      </w:r>
    </w:p>
    <w:p>
      <w:pPr>
        <w:pStyle w:val="ListBullet"/>
      </w:pPr>
      <w:r>
        <w:t>Map local personnel, premises, contract roles and projects for permanent-establishment risk.</w:t>
      </w:r>
    </w:p>
    <w:p>
      <w:pPr>
        <w:pStyle w:val="ListBullet"/>
      </w:pPr>
      <w:r>
        <w:t>Classify each non-resident payment under Article 68 and the relevant treaty before payment.</w:t>
      </w:r>
    </w:p>
    <w:p>
      <w:pPr>
        <w:pStyle w:val="ListBullet"/>
      </w:pPr>
      <w:r>
        <w:t>Screen controlled transactions and verify documentation thresholds and deadlines against the Arabic Bylaws and current ZATCA process.</w:t>
      </w:r>
    </w:p>
    <w:p>
      <w:pPr>
        <w:pStyle w:val="Heading1"/>
      </w:pPr>
      <w:r>
        <w:t>Sources reviewed</w:t>
      </w:r>
    </w:p>
    <w:p>
      <w:pPr>
        <w:pStyle w:val="ListBullet"/>
      </w:pPr>
      <w:r>
        <w:t>ZATCA Income Tax Law and Regulations, official English PDF saved in 09_Saudi_Arabia.</w:t>
      </w:r>
    </w:p>
    <w:p>
      <w:pPr>
        <w:pStyle w:val="ListBullet"/>
      </w:pPr>
      <w:r>
        <w:t>ZATCA Transfer Pricing Bylaws 2019, official Arabic PDF, and Board Resolution No. 8-2-23 amendment, official Arabic PDF.</w:t>
      </w:r>
    </w:p>
    <w:p>
      <w:pPr>
        <w:pStyle w:val="ListBullet"/>
      </w:pPr>
      <w:r>
        <w:t>ZATCA Transfer Pricing Guidelines (guidance, not legislation).</w:t>
      </w:r>
    </w:p>
    <w:p>
      <w:pPr>
        <w:pStyle w:val="ListBullet"/>
      </w:pPr>
      <w:r>
        <w:t>Saudi Arabia country legislation dossier and consolidation cards in 09_Saudi_Arabia.</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Saudi Arabia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