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Russia International Tax and Transfer Pricing Review</w:t>
      </w:r>
    </w:p>
    <w:p>
      <w:r>
        <w:rPr>
          <w:b/>
        </w:rPr>
        <w:t xml:space="preserve">Information current to: </w:t>
      </w:r>
      <w:r>
        <w:t>27 September 2026</w:t>
      </w:r>
      <w:r>
        <w:t xml:space="preserve">    </w:t>
      </w:r>
      <w:r>
        <w:rPr>
          <w:b/>
        </w:rPr>
        <w:t xml:space="preserve">Currency and tax year: </w:t>
      </w:r>
      <w:r>
        <w:t>Russian rouble; calendar year is commonly used, subject to the taxpayer's tax period.</w:t>
      </w:r>
    </w:p>
    <w:p>
      <w:pPr>
        <w:pStyle w:val="Heading1"/>
      </w:pPr>
      <w:r>
        <w:t>Executive summary</w:t>
      </w:r>
    </w:p>
    <w:p>
      <w:pPr/>
      <w:r>
        <w:rPr>
          <w:b w:val="0"/>
        </w:rPr>
        <w:t>Russia has a detailed domestic corporate income tax and transfer pricing framework in the Tax Code. For a foreign business, the main planning points are whether activity creates a permanent establishment, whether a payment is Russian-source and subject to withholding, and whether treaty relief can be supported with residence and beneficial-owner evidence.</w:t>
      </w:r>
    </w:p>
    <w:p>
      <w:pPr/>
      <w:r>
        <w:rPr>
          <w:b w:val="0"/>
        </w:rPr>
        <w:t>The available working text is a full consolidated GARANT export dated 27 September 2026. It is sufficient for an analytical review; a transaction-level conclusion should still be checked against the official publication and the relevant tax treaty.</w:t>
      </w:r>
    </w:p>
    <w:p>
      <w:pPr>
        <w:pStyle w:val="Heading1"/>
      </w:pPr>
      <w:r>
        <w:t>1. Legal framework and scope</w:t>
      </w:r>
    </w:p>
    <w:p>
      <w:pPr/>
      <w:r>
        <w:rPr>
          <w:b w:val="0"/>
        </w:rPr>
        <w:t>The principal source is the Tax Code of the Russian Federation. Chapter 25 governs corporate profit tax. Chapter 3.4 contains the controlled foreign company rules, and Section V.1 contains the transfer pricing regime and multinational group reporting rules.</w:t>
      </w:r>
    </w:p>
    <w:p>
      <w:pPr/>
      <w:r>
        <w:rPr>
          <w:b w:val="0"/>
        </w:rPr>
        <w:t>Russian organisations are generally taxed on their profit under the domestic regime. Foreign organisations are principally relevant where they conduct business through a Russian permanent establishment or receive Russian-source income. The general corporate profit tax rate stated in the country dossier is 25 percent from 2025.</w:t>
      </w:r>
    </w:p>
    <w:p>
      <w:pPr/>
      <w:r>
        <w:rPr>
          <w:b w:val="0"/>
        </w:rPr>
        <w:t>Tax treaties remain central for cross-border payments and permanent-establishment analysis. The working materials identify Article 312 as the key domestic treaty-relief provision and flag beneficial ownership as an evidential condition for reduced withholding rates.</w:t>
      </w:r>
    </w:p>
    <w:p>
      <w:pPr>
        <w:pStyle w:val="Heading1"/>
      </w:pPr>
      <w:r>
        <w:t>2. Permanent establishment and taxable nexus</w:t>
      </w:r>
    </w:p>
    <w:p>
      <w:pPr/>
      <w:r>
        <w:rPr>
          <w:b w:val="0"/>
        </w:rPr>
        <w:t>The Tax Code provisions identified in the source pack (Articles 306-308) address foreign organisations carrying on activity through a permanent establishment. The review should begin with the local facts: a fixed place of business, personnel acting from Russia, authority to negotiate or conclude contracts, project duration and the allocation of functions, assets and risks.</w:t>
      </w:r>
    </w:p>
    <w:p>
      <w:pPr/>
      <w:r>
        <w:rPr>
          <w:b w:val="0"/>
        </w:rPr>
        <w:t>A treaty can narrow or define the domestic concept, so the relevant bilateral convention must be read alongside the Code. Long-running construction or service activity, a local office or home office used on a continuing basis, and a dependent agent are practical red flags. If a permanent establishment exists, registration, profit attribution, returns and supporting accounts become core compliance issues.</w:t>
      </w:r>
    </w:p>
    <w:p>
      <w:pPr>
        <w:pStyle w:val="Heading1"/>
      </w:pPr>
      <w:r>
        <w:t>3. Withholding tax and cross border payments</w:t>
      </w:r>
    </w:p>
    <w:tbl>
      <w:tblPr>
        <w:tblStyle w:val="TableGrid"/>
        <w:tblW w:type="auto" w:w="0"/>
        <w:jc w:val="center"/>
        <w:tblLook w:firstColumn="1" w:firstRow="1" w:lastColumn="0" w:lastRow="0" w:noHBand="0" w:noVBand="1" w:val="04A0"/>
      </w:tblPr>
      <w:tblGrid>
        <w:gridCol w:w="3427"/>
        <w:gridCol w:w="3427"/>
        <w:gridCol w:w="3427"/>
      </w:tblGrid>
      <w:tr>
        <w:tc>
          <w:tcPr>
            <w:tcW w:type="dxa" w:w="3427"/>
            <w:shd w:fill="1F4E78"/>
            <w:tcMar>
              <w:top w:w="80" w:type="dxa"/>
              <w:start w:w="100" w:type="dxa"/>
              <w:bottom w:w="80" w:type="dxa"/>
              <w:end w:w="100" w:type="dxa"/>
            </w:tcMar>
            <w:vAlign w:val="center"/>
          </w:tcPr>
          <w:p>
            <w:r>
              <w:rPr>
                <w:b/>
                <w:color w:val="FFFFFF"/>
                <w:sz w:val="16"/>
              </w:rPr>
              <w:t>Payment</w:t>
            </w:r>
          </w:p>
        </w:tc>
        <w:tc>
          <w:tcPr>
            <w:tcW w:type="dxa" w:w="3427"/>
            <w:shd w:fill="1F4E78"/>
            <w:tcMar>
              <w:top w:w="80" w:type="dxa"/>
              <w:start w:w="100" w:type="dxa"/>
              <w:bottom w:w="80" w:type="dxa"/>
              <w:end w:w="100" w:type="dxa"/>
            </w:tcMar>
            <w:vAlign w:val="center"/>
          </w:tcPr>
          <w:p>
            <w:r>
              <w:rPr>
                <w:b/>
                <w:color w:val="FFFFFF"/>
                <w:sz w:val="16"/>
              </w:rPr>
              <w:t>Domestic position in source pack</w:t>
            </w:r>
          </w:p>
        </w:tc>
        <w:tc>
          <w:tcPr>
            <w:tcW w:type="dxa" w:w="3427"/>
            <w:shd w:fill="1F4E78"/>
            <w:tcMar>
              <w:top w:w="80" w:type="dxa"/>
              <w:start w:w="100" w:type="dxa"/>
              <w:bottom w:w="80" w:type="dxa"/>
              <w:end w:w="100" w:type="dxa"/>
            </w:tcMar>
            <w:vAlign w:val="center"/>
          </w:tcPr>
          <w:p>
            <w:r>
              <w:rPr>
                <w:b/>
                <w:color w:val="FFFFFF"/>
                <w:sz w:val="16"/>
              </w:rPr>
              <w:t>Treaty and practical point</w:t>
            </w:r>
          </w:p>
        </w:tc>
      </w:tr>
      <w:tr>
        <w:tc>
          <w:tcPr>
            <w:tcW w:type="dxa" w:w="3427"/>
            <w:tcMar>
              <w:top w:w="80" w:type="dxa"/>
              <w:start w:w="100" w:type="dxa"/>
              <w:bottom w:w="80" w:type="dxa"/>
              <w:end w:w="100" w:type="dxa"/>
            </w:tcMar>
            <w:vAlign w:val="center"/>
          </w:tcPr>
          <w:p>
            <w:r>
              <w:rPr>
                <w:sz w:val="16"/>
              </w:rPr>
              <w:t>Dividends</w:t>
            </w:r>
          </w:p>
        </w:tc>
        <w:tc>
          <w:tcPr>
            <w:tcW w:type="dxa" w:w="3427"/>
            <w:tcMar>
              <w:top w:w="80" w:type="dxa"/>
              <w:start w:w="100" w:type="dxa"/>
              <w:bottom w:w="80" w:type="dxa"/>
              <w:end w:w="100" w:type="dxa"/>
            </w:tcMar>
            <w:vAlign w:val="center"/>
          </w:tcPr>
          <w:p>
            <w:r>
              <w:rPr>
                <w:sz w:val="16"/>
              </w:rPr>
              <w:t>15% withholding rate identified in the dossier.</w:t>
            </w:r>
          </w:p>
        </w:tc>
        <w:tc>
          <w:tcPr>
            <w:tcW w:type="dxa" w:w="3427"/>
            <w:tcMar>
              <w:top w:w="80" w:type="dxa"/>
              <w:start w:w="100" w:type="dxa"/>
              <w:bottom w:w="80" w:type="dxa"/>
              <w:end w:w="100" w:type="dxa"/>
            </w:tcMar>
            <w:vAlign w:val="center"/>
          </w:tcPr>
          <w:p>
            <w:r>
              <w:rPr>
                <w:sz w:val="16"/>
              </w:rPr>
              <w:t>A treaty may reduce the rate if the recipient establishes residence and beneficial ownership.</w:t>
            </w:r>
          </w:p>
        </w:tc>
      </w:tr>
      <w:tr>
        <w:tc>
          <w:tcPr>
            <w:tcW w:type="dxa" w:w="3427"/>
            <w:tcMar>
              <w:top w:w="80" w:type="dxa"/>
              <w:start w:w="100" w:type="dxa"/>
              <w:bottom w:w="80" w:type="dxa"/>
              <w:end w:w="100" w:type="dxa"/>
            </w:tcMar>
            <w:vAlign w:val="center"/>
            <w:shd w:fill="EDF3F7"/>
          </w:tcPr>
          <w:p>
            <w:r>
              <w:rPr>
                <w:sz w:val="16"/>
              </w:rPr>
              <w:t>Interest</w:t>
            </w:r>
          </w:p>
        </w:tc>
        <w:tc>
          <w:tcPr>
            <w:tcW w:type="dxa" w:w="3427"/>
            <w:tcMar>
              <w:top w:w="80" w:type="dxa"/>
              <w:start w:w="100" w:type="dxa"/>
              <w:bottom w:w="80" w:type="dxa"/>
              <w:end w:w="100" w:type="dxa"/>
            </w:tcMar>
            <w:vAlign w:val="center"/>
            <w:shd w:fill="EDF3F7"/>
          </w:tcPr>
          <w:p>
            <w:r>
              <w:rPr>
                <w:sz w:val="16"/>
              </w:rPr>
              <w:t>20% withholding rate identified in the dossier.</w:t>
            </w:r>
          </w:p>
        </w:tc>
        <w:tc>
          <w:tcPr>
            <w:tcW w:type="dxa" w:w="3427"/>
            <w:tcMar>
              <w:top w:w="80" w:type="dxa"/>
              <w:start w:w="100" w:type="dxa"/>
              <w:bottom w:w="80" w:type="dxa"/>
              <w:end w:w="100" w:type="dxa"/>
            </w:tcMar>
            <w:vAlign w:val="center"/>
            <w:shd w:fill="EDF3F7"/>
          </w:tcPr>
          <w:p>
            <w:r>
              <w:rPr>
                <w:sz w:val="16"/>
              </w:rPr>
              <w:t>Check the specific treaty article, recipient status and beneficial-owner evidence.</w:t>
            </w:r>
          </w:p>
        </w:tc>
      </w:tr>
      <w:tr>
        <w:tc>
          <w:tcPr>
            <w:tcW w:type="dxa" w:w="3427"/>
            <w:tcMar>
              <w:top w:w="80" w:type="dxa"/>
              <w:start w:w="100" w:type="dxa"/>
              <w:bottom w:w="80" w:type="dxa"/>
              <w:end w:w="100" w:type="dxa"/>
            </w:tcMar>
            <w:vAlign w:val="center"/>
          </w:tcPr>
          <w:p>
            <w:r>
              <w:rPr>
                <w:sz w:val="16"/>
              </w:rPr>
              <w:t>Royalties</w:t>
            </w:r>
          </w:p>
        </w:tc>
        <w:tc>
          <w:tcPr>
            <w:tcW w:type="dxa" w:w="3427"/>
            <w:tcMar>
              <w:top w:w="80" w:type="dxa"/>
              <w:start w:w="100" w:type="dxa"/>
              <w:bottom w:w="80" w:type="dxa"/>
              <w:end w:w="100" w:type="dxa"/>
            </w:tcMar>
            <w:vAlign w:val="center"/>
          </w:tcPr>
          <w:p>
            <w:r>
              <w:rPr>
                <w:sz w:val="16"/>
              </w:rPr>
              <w:t>20% withholding rate identified in the dossier.</w:t>
            </w:r>
          </w:p>
        </w:tc>
        <w:tc>
          <w:tcPr>
            <w:tcW w:type="dxa" w:w="3427"/>
            <w:tcMar>
              <w:top w:w="80" w:type="dxa"/>
              <w:start w:w="100" w:type="dxa"/>
              <w:bottom w:w="80" w:type="dxa"/>
              <w:end w:w="100" w:type="dxa"/>
            </w:tcMar>
            <w:vAlign w:val="center"/>
          </w:tcPr>
          <w:p>
            <w:r>
              <w:rPr>
                <w:sz w:val="16"/>
              </w:rPr>
              <w:t>Classification, treaty treatment and the actual rights granted are critical.</w:t>
            </w:r>
          </w:p>
        </w:tc>
      </w:tr>
      <w:tr>
        <w:tc>
          <w:tcPr>
            <w:tcW w:type="dxa" w:w="3427"/>
            <w:tcMar>
              <w:top w:w="80" w:type="dxa"/>
              <w:start w:w="100" w:type="dxa"/>
              <w:bottom w:w="80" w:type="dxa"/>
              <w:end w:w="100" w:type="dxa"/>
            </w:tcMar>
            <w:vAlign w:val="center"/>
            <w:shd w:fill="EDF3F7"/>
          </w:tcPr>
          <w:p>
            <w:r>
              <w:rPr>
                <w:sz w:val="16"/>
              </w:rPr>
              <w:t>Services</w:t>
            </w:r>
          </w:p>
        </w:tc>
        <w:tc>
          <w:tcPr>
            <w:tcW w:type="dxa" w:w="3427"/>
            <w:tcMar>
              <w:top w:w="80" w:type="dxa"/>
              <w:start w:w="100" w:type="dxa"/>
              <w:bottom w:w="80" w:type="dxa"/>
              <w:end w:w="100" w:type="dxa"/>
            </w:tcMar>
            <w:vAlign w:val="center"/>
            <w:shd w:fill="EDF3F7"/>
          </w:tcPr>
          <w:p>
            <w:r>
              <w:rPr>
                <w:sz w:val="16"/>
              </w:rPr>
              <w:t>Analyse source, business presence and permanent-establishment consequences.</w:t>
            </w:r>
          </w:p>
        </w:tc>
        <w:tc>
          <w:tcPr>
            <w:tcW w:type="dxa" w:w="3427"/>
            <w:tcMar>
              <w:top w:w="80" w:type="dxa"/>
              <w:start w:w="100" w:type="dxa"/>
              <w:bottom w:w="80" w:type="dxa"/>
              <w:end w:w="100" w:type="dxa"/>
            </w:tcMar>
            <w:vAlign w:val="center"/>
            <w:shd w:fill="EDF3F7"/>
          </w:tcPr>
          <w:p>
            <w:r>
              <w:rPr>
                <w:sz w:val="16"/>
              </w:rPr>
              <w:t>Do not treat a service fee as a royalty merely because it includes technology or know-how.</w:t>
            </w:r>
          </w:p>
        </w:tc>
      </w:tr>
    </w:tbl>
    <w:p>
      <w:pPr>
        <w:spacing w:after="0"/>
      </w:pPr>
    </w:p>
    <w:p>
      <w:pPr>
        <w:pStyle w:val="Heading1"/>
      </w:pPr>
      <w:r>
        <w:t>4. Royalties software and services</w:t>
      </w:r>
    </w:p>
    <w:p>
      <w:pPr/>
      <w:r>
        <w:rPr>
          <w:b w:val="0"/>
        </w:rPr>
        <w:t>The contract must separate a right to use intellectual property from the acquisition of standard software, implementation work, support, cloud access and other services. The legal and factual rights transferred, including any right to reproduce, adapt or commercially exploit software, matter more than the label used in the invoice.</w:t>
      </w:r>
    </w:p>
    <w:p>
      <w:pPr/>
      <w:r>
        <w:rPr>
          <w:b w:val="0"/>
        </w:rPr>
        <w:t>For payments to a non-resident, retain the agreement, description of deliverables, acceptance records, pricing support and the recipient's tax-residence and beneficial-owner materials. The same fact pattern can also create a permanent-establishment or transfer-pricing issue.</w:t>
      </w:r>
    </w:p>
    <w:p>
      <w:pPr>
        <w:pStyle w:val="Heading1"/>
      </w:pPr>
      <w:r>
        <w:t>5. Treaties and double tax relief</w:t>
      </w:r>
    </w:p>
    <w:p>
      <w:pPr/>
      <w:r>
        <w:rPr>
          <w:b w:val="0"/>
        </w:rPr>
        <w:t>Treaty relief should be designed before payment. The payer should identify the applicable treaty, secure a current residence certificate and evaluate beneficial ownership and anti-abuse risk. Article 312 is the domestic procedural anchor noted in the source pack.</w:t>
      </w:r>
    </w:p>
    <w:p>
      <w:pPr/>
      <w:r>
        <w:rPr>
          <w:b w:val="0"/>
        </w:rPr>
        <w:t>Foreign tax credit and double-tax-relief outcomes depend on the relevant treaty and the taxpayer's own facts. Preserve tax payment evidence and link it to the underlying income stream.</w:t>
      </w:r>
    </w:p>
    <w:p>
      <w:pPr>
        <w:pStyle w:val="Heading1"/>
      </w:pPr>
      <w:r>
        <w:t>6. Transfer pricing</w:t>
      </w:r>
    </w:p>
    <w:p>
      <w:pPr/>
      <w:r>
        <w:rPr>
          <w:b w:val="0"/>
        </w:rPr>
        <w:t>Section V.1 of the Tax Code is the central transfer pricing regime. It covers associated persons, controlled transactions, arm's-length pricing, the methods used to determine market prices and profit, documentation, audits and advance pricing agreements. The source pack identifies Articles 105.1, 105.3, 105.6-105.15, 105.16-1 to 105.16-6 and 105.19-105.25 as the main working provisions.</w:t>
      </w:r>
    </w:p>
    <w:p>
      <w:pPr/>
      <w:r>
        <w:rPr>
          <w:b w:val="0"/>
        </w:rPr>
        <w:t>The recognised methods are comparable uncontrolled price, resale price, cost plus, comparable profitability and profit split. The selection should follow the transaction, the reliability of comparables and the functions, assets and risks of the parties. Transactions involving financing, intangibles, services, commodities or foreign counterparties should be screened early for controlled-transaction status.</w:t>
      </w:r>
    </w:p>
    <w:p>
      <w:pPr/>
      <w:r>
        <w:rPr>
          <w:b w:val="0"/>
        </w:rPr>
        <w:t>The dossier flags notification and documentation obligations, including local, master and country-by-country reporting for relevant multinational groups. It also records increased enforcement exposure under Federal Law No. 539-FZ, including potential penalties expressed as up to 100 percent of the tax underpayment. Maintain a contemporaneous functional analysis, agreements, calculations and comparable-data file; consider an APA or treaty MAP route where a material bilateral pricing dispute is foreseeable.</w:t>
      </w:r>
    </w:p>
    <w:p>
      <w:pPr>
        <w:pStyle w:val="Heading1"/>
      </w:pPr>
      <w:r>
        <w:t>7. Priority actions</w:t>
      </w:r>
    </w:p>
    <w:p>
      <w:pPr>
        <w:pStyle w:val="ListBullet"/>
      </w:pPr>
      <w:r>
        <w:t>Map Russian people, premises, contract authority and project duration before commencing or changing operations.</w:t>
      </w:r>
    </w:p>
    <w:p>
      <w:pPr>
        <w:pStyle w:val="ListBullet"/>
      </w:pPr>
      <w:r>
        <w:t>Classify each cross-border payment before payment and assemble treaty-relief evidence in advance.</w:t>
      </w:r>
    </w:p>
    <w:p>
      <w:pPr>
        <w:pStyle w:val="ListBullet"/>
      </w:pPr>
      <w:r>
        <w:t>Screen intercompany flows under Section V.1 and prepare documentation from the transaction date rather than after an audit begins.</w:t>
      </w:r>
    </w:p>
    <w:p>
      <w:pPr>
        <w:pStyle w:val="Heading1"/>
      </w:pPr>
      <w:r>
        <w:t>Sources reviewed</w:t>
      </w:r>
    </w:p>
    <w:p>
      <w:pPr>
        <w:pStyle w:val="ListBullet"/>
      </w:pPr>
      <w:r>
        <w:t>Tax Code of the Russian Federation, full consolidated GARANT working text, dated 27 September 2026.</w:t>
      </w:r>
    </w:p>
    <w:p>
      <w:pPr>
        <w:pStyle w:val="ListBullet"/>
      </w:pPr>
      <w:r>
        <w:t>Russia country legislation dossier and the corporate tax and transfer pricing consolidation cards in 02_Russia.</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Russia International Tax and Transfer Pricing Review</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