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India International Tax and Transfer Pricing Review</w:t>
      </w:r>
    </w:p>
    <w:p>
      <w:r>
        <w:rPr>
          <w:b/>
        </w:rPr>
        <w:t xml:space="preserve">Information current to: </w:t>
      </w:r>
      <w:r>
        <w:t>27 September 2026</w:t>
      </w:r>
      <w:r>
        <w:t xml:space="preserve">    </w:t>
      </w:r>
      <w:r>
        <w:rPr>
          <w:b/>
        </w:rPr>
        <w:t xml:space="preserve">Currency and tax year: </w:t>
      </w:r>
      <w:r>
        <w:t>Indian rupee; tax year and assessment-year concepts should be confirmed for the taxpayer's filing profile.</w:t>
      </w:r>
    </w:p>
    <w:p>
      <w:pPr>
        <w:pStyle w:val="Heading1"/>
      </w:pPr>
      <w:r>
        <w:t>Executive summary</w:t>
      </w:r>
    </w:p>
    <w:p>
      <w:pPr/>
      <w:r>
        <w:rPr>
          <w:b w:val="0"/>
        </w:rPr>
        <w:t>India's current source pack is built around the Income-tax Act, 2025, effective from 1 April 2026, the Income-tax Rules, 2026 and the Finance Act, 2026. The 1961 Act remains relevant only for transition periods and should not be used as the primary law for a current-period review.</w:t>
      </w:r>
    </w:p>
    <w:p>
      <w:pPr/>
      <w:r>
        <w:rPr>
          <w:b w:val="0"/>
        </w:rPr>
        <w:t>For an international business, the first questions are whether it has a taxable business connection or permanent establishment, how a payment is characterised, whether a treaty applies and whether transfer-pricing compliance has been designed into the operating model.</w:t>
      </w:r>
    </w:p>
    <w:p>
      <w:pPr>
        <w:pStyle w:val="Heading1"/>
      </w:pPr>
      <w:r>
        <w:t>1. Legal framework and scope</w:t>
      </w:r>
    </w:p>
    <w:p>
      <w:pPr/>
      <w:r>
        <w:rPr>
          <w:b w:val="0"/>
        </w:rPr>
        <w:t>The Income-tax Act, 2025 is the primary legislation in the archive. It is supplemented by the Income-tax Rules, 2026. The Finance Act, 2026 is the accompanying source for rates and amendments. The materials direct corporate and international analysis to the provisions on companies, business connection or permanent establishment, non-resident withholding and foreign tax credit.</w:t>
      </w:r>
    </w:p>
    <w:p>
      <w:pPr/>
      <w:r>
        <w:rPr>
          <w:b w:val="0"/>
        </w:rPr>
        <w:t>Because the Act is new for current periods, a review should anchor each conclusion to the 2025 Act and 2026 Rules, not merely to familiar section references in the former statute. The Gazette texts are the primary working sources in the local folder.</w:t>
      </w:r>
    </w:p>
    <w:p>
      <w:pPr>
        <w:pStyle w:val="Heading1"/>
      </w:pPr>
      <w:r>
        <w:t>2. Permanent establishment and taxable nexus</w:t>
      </w:r>
    </w:p>
    <w:p>
      <w:pPr/>
      <w:r>
        <w:rPr>
          <w:b w:val="0"/>
        </w:rPr>
        <w:t>The permanent-establishment analysis should compare domestic business-connection rules with the applicable tax treaty. Key fact patterns are a fixed Indian location, employees or dependent agents conducting sales or contracting activity, construction or installation work, remote support performed in India and a local presence that is more than preparatory or auxiliary.</w:t>
      </w:r>
    </w:p>
    <w:p>
      <w:pPr/>
      <w:r>
        <w:rPr>
          <w:b w:val="0"/>
        </w:rPr>
        <w:t>For a treaty-protected enterprise, profit attribution follows only after the taxable nexus is established. Operational teams should keep a clear record of who performs functions in India, who controls and bears risk, where contracts are negotiated and concluded, and how costs are allocated.</w:t>
      </w:r>
    </w:p>
    <w:p>
      <w:pPr>
        <w:pStyle w:val="Heading1"/>
      </w:pPr>
      <w:r>
        <w:t>3. Withholding tax and cross border payments</w:t>
      </w:r>
    </w:p>
    <w:tbl>
      <w:tblPr>
        <w:tblStyle w:val="TableGrid"/>
        <w:tblW w:type="auto" w:w="0"/>
        <w:jc w:val="center"/>
        <w:tblLook w:firstColumn="1" w:firstRow="1" w:lastColumn="0" w:lastRow="0" w:noHBand="0" w:noVBand="1" w:val="04A0"/>
      </w:tblPr>
      <w:tblGrid>
        <w:gridCol w:w="3427"/>
        <w:gridCol w:w="3427"/>
        <w:gridCol w:w="3427"/>
      </w:tblGrid>
      <w:tr>
        <w:tc>
          <w:tcPr>
            <w:tcW w:type="dxa" w:w="3427"/>
            <w:shd w:fill="1F4E78"/>
            <w:tcMar>
              <w:top w:w="80" w:type="dxa"/>
              <w:start w:w="100" w:type="dxa"/>
              <w:bottom w:w="80" w:type="dxa"/>
              <w:end w:w="100" w:type="dxa"/>
            </w:tcMar>
            <w:vAlign w:val="center"/>
          </w:tcPr>
          <w:p>
            <w:r>
              <w:rPr>
                <w:b/>
                <w:color w:val="FFFFFF"/>
                <w:sz w:val="16"/>
              </w:rPr>
              <w:t>Payment</w:t>
            </w:r>
          </w:p>
        </w:tc>
        <w:tc>
          <w:tcPr>
            <w:tcW w:type="dxa" w:w="3427"/>
            <w:shd w:fill="1F4E78"/>
            <w:tcMar>
              <w:top w:w="80" w:type="dxa"/>
              <w:start w:w="100" w:type="dxa"/>
              <w:bottom w:w="80" w:type="dxa"/>
              <w:end w:w="100" w:type="dxa"/>
            </w:tcMar>
            <w:vAlign w:val="center"/>
          </w:tcPr>
          <w:p>
            <w:r>
              <w:rPr>
                <w:b/>
                <w:color w:val="FFFFFF"/>
                <w:sz w:val="16"/>
              </w:rPr>
              <w:t>Domestic framework</w:t>
            </w:r>
          </w:p>
        </w:tc>
        <w:tc>
          <w:tcPr>
            <w:tcW w:type="dxa" w:w="3427"/>
            <w:shd w:fill="1F4E78"/>
            <w:tcMar>
              <w:top w:w="80" w:type="dxa"/>
              <w:start w:w="100" w:type="dxa"/>
              <w:bottom w:w="80" w:type="dxa"/>
              <w:end w:w="100" w:type="dxa"/>
            </w:tcMar>
            <w:vAlign w:val="center"/>
          </w:tcPr>
          <w:p>
            <w:r>
              <w:rPr>
                <w:b/>
                <w:color w:val="FFFFFF"/>
                <w:sz w:val="16"/>
              </w:rPr>
              <w:t>Treaty and practical point</w:t>
            </w:r>
          </w:p>
        </w:tc>
      </w:tr>
      <w:tr>
        <w:tc>
          <w:tcPr>
            <w:tcW w:type="dxa" w:w="3427"/>
            <w:tcMar>
              <w:top w:w="80" w:type="dxa"/>
              <w:start w:w="100" w:type="dxa"/>
              <w:bottom w:w="80" w:type="dxa"/>
              <w:end w:w="100" w:type="dxa"/>
            </w:tcMar>
            <w:vAlign w:val="center"/>
          </w:tcPr>
          <w:p>
            <w:r>
              <w:rPr>
                <w:sz w:val="16"/>
              </w:rPr>
              <w:t>Dividends</w:t>
            </w:r>
          </w:p>
        </w:tc>
        <w:tc>
          <w:tcPr>
            <w:tcW w:type="dxa" w:w="3427"/>
            <w:tcMar>
              <w:top w:w="80" w:type="dxa"/>
              <w:start w:w="100" w:type="dxa"/>
              <w:bottom w:w="80" w:type="dxa"/>
              <w:end w:w="100" w:type="dxa"/>
            </w:tcMar>
            <w:vAlign w:val="center"/>
          </w:tcPr>
          <w:p>
            <w:r>
              <w:rPr>
                <w:sz w:val="16"/>
              </w:rPr>
              <w:t>Rates and payer obligations are determined under the Act and Finance Act, 2026.</w:t>
            </w:r>
          </w:p>
        </w:tc>
        <w:tc>
          <w:tcPr>
            <w:tcW w:type="dxa" w:w="3427"/>
            <w:tcMar>
              <w:top w:w="80" w:type="dxa"/>
              <w:start w:w="100" w:type="dxa"/>
              <w:bottom w:w="80" w:type="dxa"/>
              <w:end w:w="100" w:type="dxa"/>
            </w:tcMar>
            <w:vAlign w:val="center"/>
          </w:tcPr>
          <w:p>
            <w:r>
              <w:rPr>
                <w:sz w:val="16"/>
              </w:rPr>
              <w:t>Apply the relevant treaty only after verifying residence, eligibility and procedural requirements.</w:t>
            </w:r>
          </w:p>
        </w:tc>
      </w:tr>
      <w:tr>
        <w:tc>
          <w:tcPr>
            <w:tcW w:type="dxa" w:w="3427"/>
            <w:tcMar>
              <w:top w:w="80" w:type="dxa"/>
              <w:start w:w="100" w:type="dxa"/>
              <w:bottom w:w="80" w:type="dxa"/>
              <w:end w:w="100" w:type="dxa"/>
            </w:tcMar>
            <w:vAlign w:val="center"/>
            <w:shd w:fill="EDF3F7"/>
          </w:tcPr>
          <w:p>
            <w:r>
              <w:rPr>
                <w:sz w:val="16"/>
              </w:rPr>
              <w:t>Interest</w:t>
            </w:r>
          </w:p>
        </w:tc>
        <w:tc>
          <w:tcPr>
            <w:tcW w:type="dxa" w:w="3427"/>
            <w:tcMar>
              <w:top w:w="80" w:type="dxa"/>
              <w:start w:w="100" w:type="dxa"/>
              <w:bottom w:w="80" w:type="dxa"/>
              <w:end w:w="100" w:type="dxa"/>
            </w:tcMar>
            <w:vAlign w:val="center"/>
            <w:shd w:fill="EDF3F7"/>
          </w:tcPr>
          <w:p>
            <w:r>
              <w:rPr>
                <w:sz w:val="16"/>
              </w:rPr>
              <w:t>Non-resident withholding is part of the current international-tax framework.</w:t>
            </w:r>
          </w:p>
        </w:tc>
        <w:tc>
          <w:tcPr>
            <w:tcW w:type="dxa" w:w="3427"/>
            <w:tcMar>
              <w:top w:w="80" w:type="dxa"/>
              <w:start w:w="100" w:type="dxa"/>
              <w:bottom w:w="80" w:type="dxa"/>
              <w:end w:w="100" w:type="dxa"/>
            </w:tcMar>
            <w:vAlign w:val="center"/>
            <w:shd w:fill="EDF3F7"/>
          </w:tcPr>
          <w:p>
            <w:r>
              <w:rPr>
                <w:sz w:val="16"/>
              </w:rPr>
              <w:t>Confirm the Finance Act rate and treaty limitation for the specific instrument and recipient.</w:t>
            </w:r>
          </w:p>
        </w:tc>
      </w:tr>
      <w:tr>
        <w:tc>
          <w:tcPr>
            <w:tcW w:type="dxa" w:w="3427"/>
            <w:tcMar>
              <w:top w:w="80" w:type="dxa"/>
              <w:start w:w="100" w:type="dxa"/>
              <w:bottom w:w="80" w:type="dxa"/>
              <w:end w:w="100" w:type="dxa"/>
            </w:tcMar>
            <w:vAlign w:val="center"/>
          </w:tcPr>
          <w:p>
            <w:r>
              <w:rPr>
                <w:sz w:val="16"/>
              </w:rPr>
              <w:t>Royalties</w:t>
            </w:r>
          </w:p>
        </w:tc>
        <w:tc>
          <w:tcPr>
            <w:tcW w:type="dxa" w:w="3427"/>
            <w:tcMar>
              <w:top w:w="80" w:type="dxa"/>
              <w:start w:w="100" w:type="dxa"/>
              <w:bottom w:w="80" w:type="dxa"/>
              <w:end w:w="100" w:type="dxa"/>
            </w:tcMar>
            <w:vAlign w:val="center"/>
          </w:tcPr>
          <w:p>
            <w:r>
              <w:rPr>
                <w:sz w:val="16"/>
              </w:rPr>
              <w:t>Characterisation and withholding depend on the rights granted and statutory category.</w:t>
            </w:r>
          </w:p>
        </w:tc>
        <w:tc>
          <w:tcPr>
            <w:tcW w:type="dxa" w:w="3427"/>
            <w:tcMar>
              <w:top w:w="80" w:type="dxa"/>
              <w:start w:w="100" w:type="dxa"/>
              <w:bottom w:w="80" w:type="dxa"/>
              <w:end w:w="100" w:type="dxa"/>
            </w:tcMar>
            <w:vAlign w:val="center"/>
          </w:tcPr>
          <w:p>
            <w:r>
              <w:rPr>
                <w:sz w:val="16"/>
              </w:rPr>
              <w:t>Compare the treaty definition with the contract, including software and technology rights.</w:t>
            </w:r>
          </w:p>
        </w:tc>
      </w:tr>
      <w:tr>
        <w:tc>
          <w:tcPr>
            <w:tcW w:type="dxa" w:w="3427"/>
            <w:tcMar>
              <w:top w:w="80" w:type="dxa"/>
              <w:start w:w="100" w:type="dxa"/>
              <w:bottom w:w="80" w:type="dxa"/>
              <w:end w:w="100" w:type="dxa"/>
            </w:tcMar>
            <w:vAlign w:val="center"/>
            <w:shd w:fill="EDF3F7"/>
          </w:tcPr>
          <w:p>
            <w:r>
              <w:rPr>
                <w:sz w:val="16"/>
              </w:rPr>
              <w:t>Technical or consulting fees</w:t>
            </w:r>
          </w:p>
        </w:tc>
        <w:tc>
          <w:tcPr>
            <w:tcW w:type="dxa" w:w="3427"/>
            <w:tcMar>
              <w:top w:w="80" w:type="dxa"/>
              <w:start w:w="100" w:type="dxa"/>
              <w:bottom w:w="80" w:type="dxa"/>
              <w:end w:w="100" w:type="dxa"/>
            </w:tcMar>
            <w:vAlign w:val="center"/>
            <w:shd w:fill="EDF3F7"/>
          </w:tcPr>
          <w:p>
            <w:r>
              <w:rPr>
                <w:sz w:val="16"/>
              </w:rPr>
              <w:t>Assess domestic withholding and the nature of the service.</w:t>
            </w:r>
          </w:p>
        </w:tc>
        <w:tc>
          <w:tcPr>
            <w:tcW w:type="dxa" w:w="3427"/>
            <w:tcMar>
              <w:top w:w="80" w:type="dxa"/>
              <w:start w:w="100" w:type="dxa"/>
              <w:bottom w:w="80" w:type="dxa"/>
              <w:end w:w="100" w:type="dxa"/>
            </w:tcMar>
            <w:vAlign w:val="center"/>
            <w:shd w:fill="EDF3F7"/>
          </w:tcPr>
          <w:p>
            <w:r>
              <w:rPr>
                <w:sz w:val="16"/>
              </w:rPr>
              <w:t>A treaty's fees-for-technical-services article, if any, can be decisive.</w:t>
            </w:r>
          </w:p>
        </w:tc>
      </w:tr>
    </w:tbl>
    <w:p>
      <w:pPr>
        <w:spacing w:after="0"/>
      </w:pPr>
    </w:p>
    <w:p>
      <w:pPr>
        <w:pStyle w:val="Heading1"/>
      </w:pPr>
      <w:r>
        <w:t>4. Royalties software and services</w:t>
      </w:r>
    </w:p>
    <w:p>
      <w:pPr/>
      <w:r>
        <w:rPr>
          <w:b w:val="0"/>
        </w:rPr>
        <w:t>Software, cloud services and technology arrangements need a contract-by-contract analysis. A licence granting rights to exploit intellectual property can be treated differently from a purchase of standard software, hosted access, implementation, support or development services.</w:t>
      </w:r>
    </w:p>
    <w:p>
      <w:pPr/>
      <w:r>
        <w:rPr>
          <w:b w:val="0"/>
        </w:rPr>
        <w:t>The payment chain should be documented with the licensed rights, permitted use, intellectual-property ownership, location of performance and evidence of services. These facts drive both withholding characterisation and potential permanent-establishment or transfer-pricing consequences.</w:t>
      </w:r>
    </w:p>
    <w:p>
      <w:pPr>
        <w:pStyle w:val="Heading1"/>
      </w:pPr>
      <w:r>
        <w:t>5. Treaties and double tax relief</w:t>
      </w:r>
    </w:p>
    <w:p>
      <w:pPr/>
      <w:r>
        <w:rPr>
          <w:b w:val="0"/>
        </w:rPr>
        <w:t>The applicable double tax agreement must be reviewed together with domestic law before payment. The working review should confirm the recipient's residence, the treaty article, any beneficial-owner or anti-abuse condition, the documentation required by the payer and the procedure for claiming relief or a refund.</w:t>
      </w:r>
    </w:p>
    <w:p>
      <w:pPr/>
      <w:r>
        <w:rPr>
          <w:b w:val="0"/>
        </w:rPr>
        <w:t>Foreign tax credit is part of the corporate international-tax framework. Maintain the foreign tax evidence and a reconciliation between the income item, the foreign withholding and the Indian return position.</w:t>
      </w:r>
    </w:p>
    <w:p>
      <w:pPr>
        <w:pStyle w:val="Heading1"/>
      </w:pPr>
      <w:r>
        <w:t>6. Transfer pricing</w:t>
      </w:r>
    </w:p>
    <w:p>
      <w:pPr/>
      <w:r>
        <w:rPr>
          <w:b w:val="0"/>
        </w:rPr>
        <w:t>The source pack identifies Chapter X of the Income-tax Act, 2025 (sections 161-177) and the Income-tax Rules, 2026 as the current transfer-pricing framework. The regime covers arm's-length pricing, associated enterprises, international transactions, methods, the Transfer Pricing Officer process, advance pricing agreements, secondary adjustment, documentation and country-by-country reporting.</w:t>
      </w:r>
    </w:p>
    <w:p>
      <w:pPr/>
      <w:r>
        <w:rPr>
          <w:b w:val="0"/>
        </w:rPr>
        <w:t>The methods reflected in the dossier are CUP, resale price, cost plus, TNMM and profit split. The local file should show why the selected method and tested party provide the most reliable result, supported by a functional analysis and comparable evidence. Intercompany services, financing, intangibles, business restructurings and guarantees deserve early review.</w:t>
      </w:r>
    </w:p>
    <w:p>
      <w:pPr/>
      <w:r>
        <w:rPr>
          <w:b w:val="0"/>
        </w:rPr>
        <w:t>The source materials identify contemporaneous documentation, Form 3CEB, APA availability and CbCR as core compliance features. A practical workplan should align local documentation, master-file data and tax return information; reconcile legal agreements with actual conduct; and consider bilateral APA or MAP where double-tax exposure is material.</w:t>
      </w:r>
    </w:p>
    <w:p>
      <w:pPr>
        <w:pStyle w:val="Heading1"/>
      </w:pPr>
      <w:r>
        <w:t>7. Priority actions</w:t>
      </w:r>
    </w:p>
    <w:p>
      <w:pPr>
        <w:pStyle w:val="ListBullet"/>
      </w:pPr>
      <w:r>
        <w:t>Use the 2025 Act and 2026 Rules as the starting point for all current-period conclusions.</w:t>
      </w:r>
    </w:p>
    <w:p>
      <w:pPr>
        <w:pStyle w:val="ListBullet"/>
      </w:pPr>
      <w:r>
        <w:t>Build a payment-characterisation matrix for dividends, interest, royalties, software, cloud services and technical services.</w:t>
      </w:r>
    </w:p>
    <w:p>
      <w:pPr>
        <w:pStyle w:val="ListBullet"/>
      </w:pPr>
      <w:r>
        <w:t>Document the Indian functions and intercompany pricing before filing, including the evidence needed for Form 3CEB and group reporting.</w:t>
      </w:r>
    </w:p>
    <w:p>
      <w:pPr>
        <w:pStyle w:val="Heading1"/>
      </w:pPr>
      <w:r>
        <w:t>Sources reviewed</w:t>
      </w:r>
    </w:p>
    <w:p>
      <w:pPr>
        <w:pStyle w:val="ListBullet"/>
      </w:pPr>
      <w:r>
        <w:t>Income-tax Act, 2025, Act No. 30 of 2025, Gazette of India PDF.</w:t>
      </w:r>
    </w:p>
    <w:p>
      <w:pPr>
        <w:pStyle w:val="ListBullet"/>
      </w:pPr>
      <w:r>
        <w:t>Income-tax Rules, 2026, CBDT / Income Tax Department official PDF.</w:t>
      </w:r>
    </w:p>
    <w:p>
      <w:pPr>
        <w:pStyle w:val="ListBullet"/>
      </w:pPr>
      <w:r>
        <w:t>Finance Act, 2026, No. 4 of 2026, Gazette of India PDF.</w:t>
      </w:r>
    </w:p>
    <w:p>
      <w:pPr>
        <w:pStyle w:val="ListBullet"/>
      </w:pPr>
      <w:r>
        <w:t>India country legislation dossier and consolidation cards in 03_India.</w:t>
      </w:r>
    </w:p>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w:hAnsi="Aptos"/>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ptos" w:hAnsi="Apto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0" w:line="240" w:lineRule="auto" w:before="0"/>
      <w:contextualSpacing/>
    </w:pPr>
    <w:rPr>
      <w:rFonts w:asciiTheme="majorHAnsi" w:eastAsiaTheme="majorEastAsia" w:hAnsiTheme="majorHAnsi" w:cstheme="majorBidi" w:ascii="Aptos Display" w:hAnsi="Aptos Display"/>
      <w:b/>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International Tax and Transfer Pricing Review</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