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after="160"/>
      </w:pPr>
      <w:r>
        <w:rPr>
          <w:rFonts w:ascii="Aptos Display" w:hAnsi="Aptos Display"/>
          <w:b/>
          <w:color w:val="174A6E"/>
          <w:sz w:val="40"/>
        </w:rPr>
        <w:t>Ethiopia International Tax and Transfer Pricing Review</w:t>
      </w:r>
    </w:p>
    <w:p>
      <w:pPr>
        <w:spacing w:after="40"/>
      </w:pPr>
      <w:r/>
      <w:r>
        <w:rPr>
          <w:b/>
        </w:rPr>
        <w:t>Information current to:</w:t>
      </w:r>
      <w:r>
        <w:t xml:space="preserve"> 27 September 2026</w:t>
      </w:r>
    </w:p>
    <w:p>
      <w:pPr>
        <w:spacing w:after="40"/>
      </w:pPr>
      <w:r/>
      <w:r>
        <w:rPr>
          <w:b/>
        </w:rPr>
        <w:t>Currency and tax year:</w:t>
      </w:r>
      <w:r>
        <w:t xml:space="preserve"> Ethiopian birr (ETB); tax year generally runs from 8 July to 7 July, subject to statutory rules and approved accounting periods.</w:t>
      </w:r>
    </w:p>
    <w:p>
      <w:pPr>
        <w:pStyle w:val="Heading1"/>
      </w:pPr>
      <w:r>
        <w:t>Executive summary</w:t>
      </w:r>
    </w:p>
    <w:p>
      <w:r>
        <w:t>Ethiopia's standard corporate income-tax rate is 30%. The principal rules are in Federal Income Tax Proclamation 979/2016, amended by Proclamation 1395 (2017 Ethiopian calendar / 2025 Gregorian publication). The amendment changes important international-tax rules, including the construction/project PE threshold to 91 days. The law provides withholding on dividends (10%), royalties (5%) and technical service fees (10%), subject to statutory scope and treaty relief. Article 79 and Transfer Pricing Directive 981/2024 provide a formal arm's-length regime.</w:t>
      </w:r>
    </w:p>
    <w:p>
      <w:r>
        <w:t>The archive holds the official base proclamation, the amendment and the TP Directive as separate documents, not a consolidated current law. Confirm the exact amendment wording, commencement and current filing requirements before filing or structuring. Focus on project duration, services performed in Ethiopia, payment characterization, thin capitalization and TP documentation.</w:t>
      </w:r>
    </w:p>
    <w:p>
      <w:pPr>
        <w:pStyle w:val="Heading1"/>
      </w:pPr>
      <w:r>
        <w:t>1. Legal framework and scope</w:t>
      </w:r>
    </w:p>
    <w:p>
      <w:r>
        <w:t>The main source is Federal Income Tax Proclamation 979/2016, as amended by Proclamation 1395, with detailed rules in regulations and directives. The standard company rate is 30%. Part VI addresses international tax; Article 45 provides foreign-tax relief, Article 47 addresses interest limitation/thin capitalization, and Article 79 contains transfer-pricing authority. The official sources reviewed are not a single consolidated text. This review excludes VAT, customs, foreign exchange, sanctions and individual taxation.</w:t>
      </w:r>
    </w:p>
    <w:p>
      <w:r>
        <w:t>Ethiopian residents are generally taxed on worldwide income, while non-residents are subject to tax on Ethiopian-source income and profits attributable to an Ethiopian PE, subject to treaty limitations. Use the post-amendment text for residence, source and international provisions; the saved base law alone is not current.</w:t>
      </w:r>
    </w:p>
    <w:p>
      <w:pPr>
        <w:pStyle w:val="Heading1"/>
      </w:pPr>
      <w:r>
        <w:t>2. Permanent establishment and taxable nexus</w:t>
      </w:r>
    </w:p>
    <w:p>
      <w:r>
        <w:t>Proclamation 1395 changes the construction, assembly, installation and connected supervisory-activity PE threshold to more than 91 days in a tax year or any one-year period. This is a material change from the longer threshold reflected in earlier summaries. Also review fixed places, dependent agents, local personnel and service activities under domestic law and the applicable treaty. If a PE exists, assess registration, profit attribution, deductions and return obligations.</w:t>
      </w:r>
    </w:p>
    <w:p>
      <w:pPr>
        <w:pStyle w:val="Heading1"/>
      </w:pPr>
      <w:r>
        <w:t>3. Withholding tax and cross-border payments</w:t>
      </w:r>
    </w:p>
    <w:tbl>
      <w:tblPr>
        <w:tblW w:type="auto" w:w="0"/>
        <w:jc w:val="center"/>
        <w:tblLayout w:type="autofit"/>
        <w:tblLook w:firstColumn="1" w:firstRow="1" w:lastColumn="0" w:lastRow="0" w:noHBand="0" w:noVBand="1" w:val="04A0"/>
      </w:tblPr>
      <w:tblGrid>
        <w:gridCol w:w="3389"/>
        <w:gridCol w:w="3389"/>
        <w:gridCol w:w="3389"/>
      </w:tblGrid>
      <w:tr>
        <w:tc>
          <w:tcPr>
            <w:tcW w:type="dxa" w:w="3389"/>
            <w:vAlign w:val="center"/>
            <w:tcMar>
              <w:top w:w="90" w:type="dxa"/>
              <w:start w:w="110" w:type="dxa"/>
              <w:bottom w:w="90" w:type="dxa"/>
              <w:end w:w="110" w:type="dxa"/>
            </w:tcMar>
            <w:shd w:fill="174A6E"/>
          </w:tcPr>
          <w:p>
            <w:pPr>
              <w:spacing w:after="0" w:line="240" w:lineRule="auto"/>
            </w:pPr>
            <w:r>
              <w:rPr>
                <w:rFonts w:ascii="Aptos" w:hAnsi="Aptos"/>
                <w:b/>
                <w:color w:val="FFFFFF"/>
                <w:sz w:val="16"/>
              </w:rPr>
              <w:t>Payment</w:t>
            </w:r>
          </w:p>
        </w:tc>
        <w:tc>
          <w:tcPr>
            <w:tcW w:type="dxa" w:w="3389"/>
            <w:vAlign w:val="center"/>
            <w:tcMar>
              <w:top w:w="90" w:type="dxa"/>
              <w:start w:w="110" w:type="dxa"/>
              <w:bottom w:w="90" w:type="dxa"/>
              <w:end w:w="110" w:type="dxa"/>
            </w:tcMar>
            <w:shd w:fill="174A6E"/>
          </w:tcPr>
          <w:p>
            <w:pPr>
              <w:spacing w:after="0" w:line="240" w:lineRule="auto"/>
            </w:pPr>
            <w:r>
              <w:rPr>
                <w:rFonts w:ascii="Aptos" w:hAnsi="Aptos"/>
                <w:b/>
                <w:color w:val="FFFFFF"/>
                <w:sz w:val="16"/>
              </w:rPr>
              <w:t>Domestic starting point</w:t>
            </w:r>
          </w:p>
        </w:tc>
        <w:tc>
          <w:tcPr>
            <w:tcW w:type="dxa" w:w="3389"/>
            <w:vAlign w:val="center"/>
            <w:tcMar>
              <w:top w:w="90" w:type="dxa"/>
              <w:start w:w="110" w:type="dxa"/>
              <w:bottom w:w="90" w:type="dxa"/>
              <w:end w:w="110" w:type="dxa"/>
            </w:tcMar>
            <w:shd w:fill="174A6E"/>
          </w:tcPr>
          <w:p>
            <w:pPr>
              <w:spacing w:after="0" w:line="240" w:lineRule="auto"/>
            </w:pPr>
            <w:r>
              <w:rPr>
                <w:rFonts w:ascii="Aptos" w:hAnsi="Aptos"/>
                <w:b/>
                <w:color w:val="FFFFFF"/>
                <w:sz w:val="16"/>
              </w:rPr>
              <w:t>Treaty and practical point</w:t>
            </w:r>
          </w:p>
        </w:tc>
      </w:tr>
      <w:tr>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Dividends</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10% withholding.</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Check recipient, exemptions and treaty rate.</w:t>
            </w:r>
          </w:p>
        </w:tc>
      </w:tr>
      <w:tr>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Interest</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Confirm rate and statutory category under the current law; the reviewed dossier does not reliably establish a general rate.</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Verify the amended provision, lender/recipient status and treaty before payment.</w:t>
            </w:r>
          </w:p>
        </w:tc>
      </w:tr>
      <w:tr>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Royalties</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5% withholding.</w:t>
            </w:r>
          </w:p>
        </w:tc>
        <w:tc>
          <w:tcPr>
            <w:tcW w:type="dxa" w:w="3389"/>
            <w:vAlign w:val="center"/>
            <w:tcMar>
              <w:top w:w="90" w:type="dxa"/>
              <w:start w:w="110" w:type="dxa"/>
              <w:bottom w:w="90" w:type="dxa"/>
              <w:end w:w="110" w:type="dxa"/>
            </w:tcMar>
          </w:tcPr>
          <w:p>
            <w:pPr>
              <w:spacing w:after="0" w:line="240" w:lineRule="auto"/>
            </w:pPr>
            <w:r>
              <w:rPr>
                <w:rFonts w:ascii="Aptos" w:hAnsi="Aptos"/>
                <w:color w:val="263238"/>
                <w:sz w:val="16"/>
              </w:rPr>
              <w:t>Confirm definition, source and treaty treatment.</w:t>
            </w:r>
          </w:p>
        </w:tc>
      </w:tr>
      <w:tr>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Technical service fees</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10% withholding on covered fees paid to non-residents.</w:t>
            </w:r>
          </w:p>
        </w:tc>
        <w:tc>
          <w:tcPr>
            <w:tcW w:type="dxa" w:w="3389"/>
            <w:vAlign w:val="center"/>
            <w:tcMar>
              <w:top w:w="90" w:type="dxa"/>
              <w:start w:w="110" w:type="dxa"/>
              <w:bottom w:w="90" w:type="dxa"/>
              <w:end w:w="110" w:type="dxa"/>
            </w:tcMar>
            <w:shd w:fill="EEF4F7"/>
          </w:tcPr>
          <w:p>
            <w:pPr>
              <w:spacing w:after="0" w:line="240" w:lineRule="auto"/>
            </w:pPr>
            <w:r>
              <w:rPr>
                <w:rFonts w:ascii="Aptos" w:hAnsi="Aptos"/>
                <w:color w:val="263238"/>
                <w:sz w:val="16"/>
              </w:rPr>
              <w:t>Confirm service type, place/source and treaty; distinguish technical services from ordinary business profits.</w:t>
            </w:r>
          </w:p>
        </w:tc>
      </w:tr>
    </w:tbl>
    <w:p>
      <w:pPr>
        <w:spacing w:after="20"/>
      </w:pPr>
    </w:p>
    <w:p>
      <w:r>
        <w:t>Withholding depends on the statutory category and source rules. Contract labels alone do not determine whether a payment is a royalty, technical service fee or business profit.</w:t>
      </w:r>
    </w:p>
    <w:p>
      <w:pPr>
        <w:pStyle w:val="Heading1"/>
      </w:pPr>
      <w:r>
        <w:t>4. Royalties, software and services</w:t>
      </w:r>
    </w:p>
    <w:p>
      <w:r>
        <w:t>Identify rights granted and the actual work performed. Separate software or IP licences from cloud hosting, implementation, maintenance, training and technical assistance. Review where the service is performed, whether personnel travel to Ethiopia and whether activity crosses the PE threshold. Preserve agreements, IP schedules, deliverables, timesheets and payment allocations.</w:t>
      </w:r>
    </w:p>
    <w:p>
      <w:pPr>
        <w:pStyle w:val="Heading1"/>
      </w:pPr>
      <w:r>
        <w:t>5. Treaties and double-tax relief</w:t>
      </w:r>
    </w:p>
    <w:p>
      <w:r>
        <w:t>Check treaty status and entry into effect for the relevant period. A treaty may narrow domestic source taxation or alter PE and withholding outcomes. Article 45 provides foreign-tax relief subject to the domestic limits and proof requirements. Retain residence certificates, foreign tax evidence and income-by-income credit calculations. No treaty rate should be assumed without checking the specific instrument and anti-abuse requirements.</w:t>
      </w:r>
    </w:p>
    <w:p>
      <w:pPr>
        <w:pStyle w:val="Heading1"/>
      </w:pPr>
      <w:r>
        <w:t>6. Transfer pricing</w:t>
      </w:r>
    </w:p>
    <w:p>
      <w:r>
        <w:t>Article 79 of Proclamation 979/2016 authorizes arm's-length adjustments for transactions between associated enterprises. Transfer Pricing Directive 981/2024 supplies operative detail, including comparability analysis and recognized methods: CUP, resale price, cost plus, TNMM and profit split. Analyze the accurately delineated transaction, functions, assets, risks and available comparables; services, financing, commodities and intangibles deserve focused support.</w:t>
      </w:r>
    </w:p>
    <w:p>
      <w:r>
        <w:t>The dossier identifies local-file, master-file and CbC obligations under the Directive. The official PDF is available, but submission thresholds, deadlines, language and penalties should be confirmed from its operative text and current Ministry of Revenues instructions; they are not assumed here. The Directive is separate from the base proclamation and is identified by the Ministry of Justice as official.</w:t>
      </w:r>
    </w:p>
    <w:p>
      <w:pPr>
        <w:pStyle w:val="Heading1"/>
      </w:pPr>
      <w:r>
        <w:t>7. Priority actions</w:t>
      </w:r>
    </w:p>
    <w:p>
      <w:pPr>
        <w:pStyle w:val="ListBullet"/>
        <w:spacing w:after="40"/>
      </w:pPr>
      <w:r>
        <w:t>Apply Proclamation 1395's 91-day project PE test and check any treaty threshold separately.</w:t>
      </w:r>
    </w:p>
    <w:p>
      <w:pPr>
        <w:pStyle w:val="ListBullet"/>
        <w:spacing w:after="40"/>
      </w:pPr>
      <w:r>
        <w:t>Verify the latest consolidated wording and commencement of the 1395 amendments.</w:t>
      </w:r>
    </w:p>
    <w:p>
      <w:pPr>
        <w:pStyle w:val="ListBullet"/>
        <w:spacing w:after="40"/>
      </w:pPr>
      <w:r>
        <w:t>Confirm the correct withholding category and current interest rate before setting gross-up clauses or paying.</w:t>
      </w:r>
    </w:p>
    <w:p>
      <w:pPr>
        <w:pStyle w:val="ListBullet"/>
        <w:spacing w:after="40"/>
      </w:pPr>
      <w:r>
        <w:t>Map all associated transactions to Directive 981/2024 and validate documentation thresholds and filing dates with the tax authority.</w:t>
      </w:r>
    </w:p>
    <w:p>
      <w:pPr>
        <w:pStyle w:val="Heading1"/>
      </w:pPr>
      <w:r>
        <w:t>Sources reviewed</w:t>
      </w:r>
    </w:p>
    <w:p>
      <w:pPr>
        <w:pStyle w:val="ListBullet"/>
        <w:spacing w:after="40"/>
      </w:pPr>
      <w:r>
        <w:t>Ministry of Justice, Federal Income Tax Proclamation 979/2016 (https://justice.gov.et/en/law/federal-income-tax-proclamation/) — official base Act.</w:t>
      </w:r>
    </w:p>
    <w:p>
      <w:pPr>
        <w:pStyle w:val="ListBullet"/>
        <w:spacing w:after="40"/>
      </w:pPr>
      <w:r>
        <w:t>Ministry of Finance, Tax Directives (https://www.mofed.gov.et/mof-directive/tax-directive/) — official listing of Income Tax Amendment Proclamation 1395.</w:t>
      </w:r>
    </w:p>
    <w:p>
      <w:pPr>
        <w:pStyle w:val="ListBullet"/>
        <w:spacing w:after="40"/>
      </w:pPr>
      <w:r>
        <w:t>Ministry of Justice, Transfer Pricing Directive 981 (https://justice.gov.et/en/directives/directive-issued-to-regulate-transfer-pricing-directive-no-981-2016/) — official TP Directive page and PDF.</w:t>
      </w:r>
    </w:p>
    <w:p>
      <w:pPr>
        <w:pStyle w:val="ListBullet"/>
        <w:spacing w:after="40"/>
      </w:pPr>
      <w:r>
        <w:t>Ministry of Revenues (https://www.mor.gov.et) — official tax authority; verify current filing instructions and rates.</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263238"/>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174A6E"/>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23658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Ethiopia International Tax and Transfer Pricing Review</dc:title>
  <dc:subject>International tax and transfer pricing country review</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