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Brazil International Tax and Transfer Pricing Review</w:t>
      </w:r>
    </w:p>
    <w:p>
      <w:pPr>
        <w:spacing w:after="160"/>
      </w:pPr>
      <w:r>
        <w:rPr>
          <w:b/>
        </w:rPr>
        <w:t>Information current to:</w:t>
      </w:r>
      <w:r>
        <w:t xml:space="preserve"> 27 September 2026</w:t>
      </w:r>
    </w:p>
    <w:p>
      <w:pPr>
        <w:spacing w:after="160"/>
      </w:pPr>
      <w:r>
        <w:rPr>
          <w:b/>
        </w:rPr>
        <w:t>Currency and tax year:</w:t>
      </w:r>
      <w:r>
        <w:t xml:space="preserve"> Brazilian real (BRL); tax periods generally follow the calendar year, subject to the taxpayer's accounting and tax regime.</w:t>
      </w:r>
    </w:p>
    <w:p>
      <w:pPr>
        <w:pStyle w:val="Heading1"/>
      </w:pPr>
      <w:r>
        <w:t>Executive summary</w:t>
      </w:r>
    </w:p>
    <w:p>
      <w:r>
        <w:t>Brazil's corporate income-tax burden for a general company is typically 34% of taxable profit: 15% IRPJ, a 10% additional IRPJ on the portion above the statutory monthly threshold, and 9% CSLL. Certain financial and regulated sectors have higher, differentiated CSLL rates. From 2026, cross-border dividends are generally subject to 10% withholding under Law No. 15,270/2025, subject to transition rules and limited statutory exceptions.</w:t>
      </w:r>
    </w:p>
    <w:p>
      <w:r>
        <w:t>Brazil has applied its OECD-aligned arm's-length transfer-pricing system since 2024. The main practical priorities are to model the new dividend tax, classify outbound payments, check local presence and treaty protection, and maintain transaction-level transfer-pricing support. Law No. 15,270/2025 and Complementary Law No. 224/2025 also change tax-benefit and profit-distribution outcomes and should be incorporated into 2026 planning.</w:t>
      </w:r>
    </w:p>
    <w:p>
      <w:pPr>
        <w:pStyle w:val="Heading1"/>
      </w:pPr>
      <w:r>
        <w:t>1. Legal framework and scope</w:t>
      </w:r>
    </w:p>
    <w:p>
      <w:r>
        <w:t>The main corporate tax sources are the Income Tax Regulation (RIR/2018), Law No. 9,249/1995, Law No. 9,430/1996, Law No. 12,973/2014 and the current text of RFB Normative Instruction No. 1,700/2017. The RIR consolidates legislation only through 31 December 2016, so it is not a stand-alone current consolidation. The newer official Planalto texts and the Receita Federal's current-text view of IN 1,700/2017 are needed for later changes.</w:t>
      </w:r>
    </w:p>
    <w:p>
      <w:r>
        <w:t>The general IRPJ rate is 15%, with a 10% additional charge on taxable profit above BRL 20,000 per month of the assessment period. General CSLL is 9%, producing a common combined nominal burden of 34%. Financial, insurance and other regulated entities can have higher CSLL rates. Complementary Law No. 224/2025 changes certain sector rates and reduces specified tax benefits; it also increases presumed-profit percentages on the portion of annual gross revenue above BRL 5 million under the lucro presumido regime. Test the taxpayer's sector, tax method and incentives before using the headline rate.</w:t>
      </w:r>
    </w:p>
    <w:p>
      <w:r>
        <w:t>Law No. 12,973/2014 contains important rules for profits of foreign subsidiaries and controlled entities. Foreign tax credit, source taxation and treaty relief should be analyzed alongside the domestic corporate computation.</w:t>
      </w:r>
    </w:p>
    <w:p>
      <w:pPr>
        <w:pStyle w:val="Heading1"/>
      </w:pPr>
      <w:r>
        <w:t>2. Permanent establishment and taxable nexus</w:t>
      </w:r>
    </w:p>
    <w:p>
      <w:r>
        <w:t>The domestic rules address the taxation of foreign enterprises operating through branches, agencies, representatives or other taxable local activity. The RIR identifies provisions on local establishments, but domestic tax nexus and treaty permanent establishment are not always identical concepts. Review the relevant treaty before relying on a treaty exemption.</w:t>
      </w:r>
    </w:p>
    <w:p>
      <w:r>
        <w:t>Relevant facts include local premises, personnel, dependent agents, authority to negotiate or conclude contracts, construction or installation projects, and services performed in Brazil. If a taxable local presence exists, assess registration, profit attribution, deductibility, bookkeeping and returns. Brazilian staff or agents who routinely secure or negotiate customer contracts are a practical red flag.</w:t>
      </w:r>
    </w:p>
    <w:p>
      <w:pPr>
        <w:pStyle w:val="Heading1"/>
      </w:pPr>
      <w:r>
        <w:t>3. Withholding tax and cross border payments</w:t>
      </w:r>
    </w:p>
    <w:tbl>
      <w:tblPr>
        <w:tblStyle w:val="TableGrid"/>
        <w:tblW w:type="auto" w:w="0"/>
        <w:jc w:val="center"/>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3427"/>
        <w:gridCol w:w="3427"/>
        <w:gridCol w:w="3427"/>
      </w:tblGrid>
      <w:tr>
        <w:trPr>
          <w:tblHeader w:val="true"/>
        </w:trPr>
        <w:tc>
          <w:tcPr>
            <w:tcW w:type="dxa" w:w="2088"/>
            <w:shd w:fill="1F4E78"/>
            <w:tcMar>
              <w:top w:w="90" w:type="dxa"/>
              <w:start w:w="100" w:type="dxa"/>
              <w:bottom w:w="90" w:type="dxa"/>
              <w:end w:w="100" w:type="dxa"/>
            </w:tcMar>
            <w:vAlign w:val="center"/>
          </w:tcPr>
          <w:p>
            <w:pPr>
              <w:spacing w:after="0"/>
            </w:pPr>
            <w:r>
              <w:rPr>
                <w:b/>
                <w:color w:val="FFFFFF"/>
                <w:sz w:val="16"/>
              </w:rPr>
            </w:r>
            <w:r>
              <w:rPr>
                <w:b/>
                <w:color w:val="FFFFFF"/>
                <w:sz w:val="16"/>
              </w:rPr>
              <w:t>Payment</w:t>
            </w:r>
          </w:p>
        </w:tc>
        <w:tc>
          <w:tcPr>
            <w:tcW w:type="dxa" w:w="3096"/>
            <w:shd w:fill="1F4E78"/>
            <w:tcMar>
              <w:top w:w="90" w:type="dxa"/>
              <w:start w:w="100" w:type="dxa"/>
              <w:bottom w:w="90" w:type="dxa"/>
              <w:end w:w="100" w:type="dxa"/>
            </w:tcMar>
            <w:vAlign w:val="center"/>
          </w:tcPr>
          <w:p>
            <w:pPr>
              <w:spacing w:after="0"/>
            </w:pPr>
            <w:r>
              <w:rPr>
                <w:b/>
                <w:color w:val="FFFFFF"/>
                <w:sz w:val="16"/>
              </w:rPr>
            </w:r>
            <w:r>
              <w:rPr>
                <w:b/>
                <w:color w:val="FFFFFF"/>
                <w:sz w:val="16"/>
              </w:rPr>
              <w:t>Domestic position</w:t>
            </w:r>
          </w:p>
        </w:tc>
        <w:tc>
          <w:tcPr>
            <w:tcW w:type="dxa" w:w="3672"/>
            <w:shd w:fill="1F4E78"/>
            <w:tcMar>
              <w:top w:w="90" w:type="dxa"/>
              <w:start w:w="100" w:type="dxa"/>
              <w:bottom w:w="90" w:type="dxa"/>
              <w:end w:w="100" w:type="dxa"/>
            </w:tcMar>
            <w:vAlign w:val="center"/>
          </w:tcPr>
          <w:p>
            <w:pPr>
              <w:spacing w:after="0"/>
            </w:pPr>
            <w:r>
              <w:rPr>
                <w:b/>
                <w:color w:val="FFFFFF"/>
                <w:sz w:val="16"/>
              </w:rPr>
            </w:r>
            <w:r>
              <w:rPr>
                <w:b/>
                <w:color w:val="FFFFFF"/>
                <w:sz w:val="16"/>
              </w:rPr>
              <w:t>Treaty and practical point</w:t>
            </w:r>
          </w:p>
        </w:tc>
      </w:tr>
      <w:tr>
        <w:tc>
          <w:tcPr>
            <w:tcW w:type="dxa" w:w="2088"/>
            <w:tcMar>
              <w:top w:w="90" w:type="dxa"/>
              <w:start w:w="100" w:type="dxa"/>
              <w:bottom w:w="90" w:type="dxa"/>
              <w:end w:w="100" w:type="dxa"/>
            </w:tcMar>
            <w:vAlign w:val="center"/>
          </w:tcPr>
          <w:p>
            <w:pPr>
              <w:spacing w:after="0"/>
            </w:pPr>
            <w:r>
              <w:rPr>
                <w:sz w:val="16"/>
              </w:rPr>
            </w:r>
            <w:r>
              <w:rPr>
                <w:sz w:val="16"/>
              </w:rPr>
              <w:t>Dividends remitted abroad</w:t>
            </w:r>
          </w:p>
        </w:tc>
        <w:tc>
          <w:tcPr>
            <w:tcW w:type="dxa" w:w="3096"/>
            <w:tcMar>
              <w:top w:w="90" w:type="dxa"/>
              <w:start w:w="100" w:type="dxa"/>
              <w:bottom w:w="90" w:type="dxa"/>
              <w:end w:w="100" w:type="dxa"/>
            </w:tcMar>
            <w:vAlign w:val="center"/>
          </w:tcPr>
          <w:p>
            <w:pPr>
              <w:spacing w:after="0"/>
            </w:pPr>
            <w:r>
              <w:rPr>
                <w:sz w:val="16"/>
              </w:rPr>
            </w:r>
            <w:r>
              <w:rPr>
                <w:sz w:val="16"/>
              </w:rPr>
              <w:t>Generally 10% withholding from January 2026.</w:t>
            </w:r>
          </w:p>
        </w:tc>
        <w:tc>
          <w:tcPr>
            <w:tcW w:type="dxa" w:w="3672"/>
            <w:tcMar>
              <w:top w:w="90" w:type="dxa"/>
              <w:start w:w="100" w:type="dxa"/>
              <w:bottom w:w="90" w:type="dxa"/>
              <w:end w:w="100" w:type="dxa"/>
            </w:tcMar>
            <w:vAlign w:val="center"/>
          </w:tcPr>
          <w:p>
            <w:pPr>
              <w:spacing w:after="0"/>
            </w:pPr>
            <w:r>
              <w:rPr>
                <w:sz w:val="16"/>
              </w:rPr>
            </w:r>
            <w:r>
              <w:rPr>
                <w:sz w:val="16"/>
              </w:rPr>
              <w:t>Check the statutory transition for 2025 profits approved for distribution by 31 December 2025, listed exceptions, treaty interaction and the potential credit under Law No. 15,270/2025.</w:t>
            </w:r>
          </w:p>
        </w:tc>
      </w:tr>
      <w:tr>
        <w:tc>
          <w:tcPr>
            <w:tcW w:type="dxa" w:w="2088"/>
            <w:tcMar>
              <w:top w:w="90" w:type="dxa"/>
              <w:start w:w="100" w:type="dxa"/>
              <w:bottom w:w="90" w:type="dxa"/>
              <w:end w:w="100" w:type="dxa"/>
            </w:tcMar>
            <w:vAlign w:val="center"/>
            <w:shd w:fill="EDF3F7"/>
          </w:tcPr>
          <w:p>
            <w:pPr>
              <w:spacing w:after="0"/>
            </w:pPr>
            <w:r>
              <w:rPr>
                <w:sz w:val="16"/>
              </w:rPr>
            </w:r>
            <w:r>
              <w:rPr>
                <w:sz w:val="16"/>
              </w:rPr>
              <w:t>Interest and other financial returns</w:t>
            </w:r>
          </w:p>
        </w:tc>
        <w:tc>
          <w:tcPr>
            <w:tcW w:type="dxa" w:w="3096"/>
            <w:tcMar>
              <w:top w:w="90" w:type="dxa"/>
              <w:start w:w="100" w:type="dxa"/>
              <w:bottom w:w="90" w:type="dxa"/>
              <w:end w:w="100" w:type="dxa"/>
            </w:tcMar>
            <w:vAlign w:val="center"/>
            <w:shd w:fill="EDF3F7"/>
          </w:tcPr>
          <w:p>
            <w:pPr>
              <w:spacing w:after="0"/>
            </w:pPr>
            <w:r>
              <w:rPr>
                <w:sz w:val="16"/>
              </w:rPr>
            </w:r>
            <w:r>
              <w:rPr>
                <w:sz w:val="16"/>
              </w:rPr>
              <w:t>Common starting rate is 15%; category-specific rules may apply.</w:t>
            </w:r>
          </w:p>
        </w:tc>
        <w:tc>
          <w:tcPr>
            <w:tcW w:type="dxa" w:w="3672"/>
            <w:tcMar>
              <w:top w:w="90" w:type="dxa"/>
              <w:start w:w="100" w:type="dxa"/>
              <w:bottom w:w="90" w:type="dxa"/>
              <w:end w:w="100" w:type="dxa"/>
            </w:tcMar>
            <w:vAlign w:val="center"/>
            <w:shd w:fill="EDF3F7"/>
          </w:tcPr>
          <w:p>
            <w:pPr>
              <w:spacing w:after="0"/>
            </w:pPr>
            <w:r>
              <w:rPr>
                <w:sz w:val="16"/>
              </w:rPr>
            </w:r>
            <w:r>
              <w:rPr>
                <w:sz w:val="16"/>
              </w:rPr>
              <w:t>Check the instrument, related-party status, low-tax or privileged-regime rules and treaty. Some cases have a different rate.</w:t>
            </w:r>
          </w:p>
        </w:tc>
      </w:tr>
      <w:tr>
        <w:tc>
          <w:tcPr>
            <w:tcW w:type="dxa" w:w="2088"/>
            <w:tcMar>
              <w:top w:w="90" w:type="dxa"/>
              <w:start w:w="100" w:type="dxa"/>
              <w:bottom w:w="90" w:type="dxa"/>
              <w:end w:w="100" w:type="dxa"/>
            </w:tcMar>
            <w:vAlign w:val="center"/>
          </w:tcPr>
          <w:p>
            <w:pPr>
              <w:spacing w:after="0"/>
            </w:pPr>
            <w:r>
              <w:rPr>
                <w:sz w:val="16"/>
              </w:rPr>
            </w:r>
            <w:r>
              <w:rPr>
                <w:sz w:val="16"/>
              </w:rPr>
              <w:t>Royalties and technical assistance</w:t>
            </w:r>
          </w:p>
        </w:tc>
        <w:tc>
          <w:tcPr>
            <w:tcW w:type="dxa" w:w="3096"/>
            <w:tcMar>
              <w:top w:w="90" w:type="dxa"/>
              <w:start w:w="100" w:type="dxa"/>
              <w:bottom w:w="90" w:type="dxa"/>
              <w:end w:w="100" w:type="dxa"/>
            </w:tcMar>
            <w:vAlign w:val="center"/>
          </w:tcPr>
          <w:p>
            <w:pPr>
              <w:spacing w:after="0"/>
            </w:pPr>
            <w:r>
              <w:rPr>
                <w:sz w:val="16"/>
              </w:rPr>
            </w:r>
            <w:r>
              <w:rPr>
                <w:sz w:val="16"/>
              </w:rPr>
              <w:t>Common starting rate is 15%; 25% may apply to beneficiaries in a tax-favoured jurisdiction.</w:t>
            </w:r>
          </w:p>
        </w:tc>
        <w:tc>
          <w:tcPr>
            <w:tcW w:type="dxa" w:w="3672"/>
            <w:tcMar>
              <w:top w:w="90" w:type="dxa"/>
              <w:start w:w="100" w:type="dxa"/>
              <w:bottom w:w="90" w:type="dxa"/>
              <w:end w:w="100" w:type="dxa"/>
            </w:tcMar>
            <w:vAlign w:val="center"/>
          </w:tcPr>
          <w:p>
            <w:pPr>
              <w:spacing w:after="0"/>
            </w:pPr>
            <w:r>
              <w:rPr>
                <w:sz w:val="16"/>
              </w:rPr>
            </w:r>
            <w:r>
              <w:rPr>
                <w:sz w:val="16"/>
              </w:rPr>
              <w:t>Classify IP rights and technical services separately; check treaty, registration and deductibility requirements.</w:t>
            </w:r>
          </w:p>
        </w:tc>
      </w:tr>
      <w:tr>
        <w:tc>
          <w:tcPr>
            <w:tcW w:type="dxa" w:w="2088"/>
            <w:tcMar>
              <w:top w:w="90" w:type="dxa"/>
              <w:start w:w="100" w:type="dxa"/>
              <w:bottom w:w="90" w:type="dxa"/>
              <w:end w:w="100" w:type="dxa"/>
            </w:tcMar>
            <w:vAlign w:val="center"/>
            <w:shd w:fill="EDF3F7"/>
          </w:tcPr>
          <w:p>
            <w:pPr>
              <w:spacing w:after="0"/>
            </w:pPr>
            <w:r>
              <w:rPr>
                <w:sz w:val="16"/>
              </w:rPr>
            </w:r>
            <w:r>
              <w:rPr>
                <w:sz w:val="16"/>
              </w:rPr>
              <w:t>Services and other payments</w:t>
            </w:r>
          </w:p>
        </w:tc>
        <w:tc>
          <w:tcPr>
            <w:tcW w:type="dxa" w:w="3096"/>
            <w:tcMar>
              <w:top w:w="90" w:type="dxa"/>
              <w:start w:w="100" w:type="dxa"/>
              <w:bottom w:w="90" w:type="dxa"/>
              <w:end w:w="100" w:type="dxa"/>
            </w:tcMar>
            <w:vAlign w:val="center"/>
            <w:shd w:fill="EDF3F7"/>
          </w:tcPr>
          <w:p>
            <w:pPr>
              <w:spacing w:after="0"/>
            </w:pPr>
            <w:r>
              <w:rPr>
                <w:sz w:val="16"/>
              </w:rPr>
            </w:r>
            <w:r>
              <w:rPr>
                <w:sz w:val="16"/>
              </w:rPr>
              <w:t>Rate depends on the type and source of income; 15% is a general starting point, with higher rates possible.</w:t>
            </w:r>
          </w:p>
        </w:tc>
        <w:tc>
          <w:tcPr>
            <w:tcW w:type="dxa" w:w="3672"/>
            <w:tcMar>
              <w:top w:w="90" w:type="dxa"/>
              <w:start w:w="100" w:type="dxa"/>
              <w:bottom w:w="90" w:type="dxa"/>
              <w:end w:w="100" w:type="dxa"/>
            </w:tcMar>
            <w:vAlign w:val="center"/>
            <w:shd w:fill="EDF3F7"/>
          </w:tcPr>
          <w:p>
            <w:pPr>
              <w:spacing w:after="0"/>
            </w:pPr>
            <w:r>
              <w:rPr>
                <w:sz w:val="16"/>
              </w:rPr>
            </w:r>
            <w:r>
              <w:rPr>
                <w:sz w:val="16"/>
              </w:rPr>
              <w:t>Determine where the service is used or performed, whether it creates local nexus, and whether a treaty limits Brazil's taxing right.</w:t>
            </w:r>
          </w:p>
        </w:tc>
      </w:tr>
    </w:tbl>
    <w:p>
      <w:pPr>
        <w:spacing w:after="0"/>
      </w:pPr>
    </w:p>
    <w:p>
      <w:r>
        <w:t>The dividend change is material for any distribution to a non-resident. Law No. 15,270/2025 provides a credit mechanism, at the foreign beneficiary's option, where the combined effective burden on the distributing company's profits and the 10% dividend withholding exceeds the relevant nominal IRPJ/CSLL benchmark. The payer should document the approval date, earnings vintage, payment schedule, recipient status and withholding calculation.</w:t>
      </w:r>
    </w:p>
    <w:p>
      <w:pPr>
        <w:pStyle w:val="Heading1"/>
      </w:pPr>
      <w:r>
        <w:t>4. Royalties software and services</w:t>
      </w:r>
    </w:p>
    <w:p>
      <w:r>
        <w:t>Separate rights to use or exploit intellectual property from standard software, SaaS, hosting, maintenance, implementation, technical support and development services. The legal rights granted, ability to reproduce or commercialize software, ownership of resulting IP, and place where services are carried out can change withholding, deduction and treaty treatment.</w:t>
      </w:r>
    </w:p>
    <w:p>
      <w:r>
        <w:t>Retain the agreement, technical scope, deliverables, acceptance evidence, IP-rights schedule and allocation of bundled fees. A foreign service provider's people or agents in Brazil may also raise permanent-establishment issues. For related parties, the pricing and benefit evidence should align with the transfer-pricing file.</w:t>
      </w:r>
    </w:p>
    <w:p>
      <w:pPr>
        <w:pStyle w:val="Heading1"/>
      </w:pPr>
      <w:r>
        <w:t>5. Treaties and double tax relief</w:t>
      </w:r>
    </w:p>
    <w:p>
      <w:r>
        <w:t>Check whether a treaty is in force for the period and payment, whether the recipient qualifies for relief, and what residence or beneficial-ownership evidence the payer needs. Brazil's treaty network and treaty text vary by country; treaty definitions for royalties, technical services, interest and permanent establishments may materially differ from domestic categories.</w:t>
      </w:r>
    </w:p>
    <w:p>
      <w:r>
        <w:t>Law No. 9,430/1996 provides foreign-tax credit rules for relevant foreign income. Preserve tax-payment certificates and reconcile each credit to the income and tax computation. Consider treaty mutual agreement procedures if Brazil and the other jurisdiction make conflicting adjustments.</w:t>
      </w:r>
    </w:p>
    <w:p>
      <w:pPr>
        <w:pStyle w:val="Heading1"/>
      </w:pPr>
      <w:r>
        <w:t>6. Transfer pricing</w:t>
      </w:r>
    </w:p>
    <w:p>
      <w:r>
        <w:t>Law No. 14,596/2023 applies to controlled transactions between Brazilian entities and related parties abroad. It replaced the former fixed-margin system with an arm's-length standard aligned with the OECD framework and applies from 2024. IN RFB No. 2,161/2023 contains the detailed administrative rules; IN RFB No. 2,246/2024 amended it, and the RFB current-text service should be checked because the archive does not contain a consolidated current IN 2,161 text.</w:t>
      </w:r>
    </w:p>
    <w:p>
      <w:r>
        <w:t>The law covers commercial and financial dealings, including goods, services, intangibles, financing and business restructurings. The methods include comparable uncontrolled price (PIC/CUP), resale price (PRL), cost plus (MCL), TNMM (MLT), profit split (MDL) and other appropriate methods where justified. Select the most reliable method using the delineated transaction, functions, assets, risks and available comparables. Intangibles, commodities, intra-group services, financing and guarantees warrant early review.</w:t>
      </w:r>
    </w:p>
    <w:p>
      <w:r>
        <w:t>Brazilian taxpayers may have to prepare a local file and master file, make controlled-transaction disclosures and comply with CbCR where the group threshold is met. RFB guidance identifies a BRL 500 million annual controlled-transaction threshold for the complete local file; simplified documentation may apply below it, subject to the detailed rules and exceptions. Preserve the functional analysis, agreements, benefits received, calculations and comparables contemporaneously. The statute provides administrative consultation procedures; confirm the current route and scope before treating them as an APA.</w:t>
      </w:r>
    </w:p>
    <w:p>
      <w:pPr>
        <w:pStyle w:val="Heading1"/>
      </w:pPr>
      <w:r>
        <w:t>7. Priority actions</w:t>
      </w:r>
    </w:p>
    <w:p>
      <w:pPr>
        <w:pStyle w:val="ListBullet"/>
      </w:pPr>
      <w:r>
        <w:t>Reforecast 2026 distributions to foreign shareholders for the 10% dividend withholding and test transition or credit relief.</w:t>
      </w:r>
    </w:p>
    <w:p>
      <w:pPr>
        <w:pStyle w:val="ListBullet"/>
      </w:pPr>
      <w:r>
        <w:t>Recalculate IRPJ/CSLL using the company's sector, tax regime and any 2026 changes to incentives or presumed-profit bases.</w:t>
      </w:r>
    </w:p>
    <w:p>
      <w:pPr>
        <w:pStyle w:val="ListBullet"/>
      </w:pPr>
      <w:r>
        <w:t>Review cross-border payments for the correct withholding category, treaty rate and evidence package.</w:t>
      </w:r>
    </w:p>
    <w:p>
      <w:pPr>
        <w:pStyle w:val="ListBullet"/>
      </w:pPr>
      <w:r>
        <w:t>Test every controlled transaction under Law No. 14,596/2023 and update documentation under the amended RFB rules.</w:t>
      </w:r>
    </w:p>
    <w:p>
      <w:pPr>
        <w:pStyle w:val="Heading1"/>
      </w:pPr>
      <w:r>
        <w:t>Sources reviewed</w:t>
      </w:r>
    </w:p>
    <w:p>
      <w:pPr>
        <w:pStyle w:val="ListBullet"/>
      </w:pPr>
      <w:hyperlink r:id="rId9">
        <w:r>
          <w:rPr>
            <w:color w:val="1F4E78"/>
            <w:u w:val="single"/>
          </w:rPr>
          <w:t>RIR/2018 and current IRPJ/CSLL acts</w:t>
        </w:r>
      </w:hyperlink>
      <w:r>
        <w:t>; Laws No. 9,249/1995, 9,430/1996 and 12,973/2014; current-text IN RFB No. 1,700/2017 in `01_Brazil`.</w:t>
      </w:r>
    </w:p>
    <w:p>
      <w:pPr>
        <w:pStyle w:val="ListBullet"/>
      </w:pPr>
      <w:hyperlink r:id="rId10">
        <w:r>
          <w:rPr>
            <w:color w:val="1F4E78"/>
            <w:u w:val="single"/>
          </w:rPr>
          <w:t>Law No. 15,270/2025</w:t>
        </w:r>
      </w:hyperlink>
      <w:r>
        <w:t xml:space="preserve"> and </w:t>
      </w:r>
      <w:hyperlink r:id="rId11">
        <w:r>
          <w:rPr>
            <w:color w:val="1F4E78"/>
            <w:u w:val="single"/>
          </w:rPr>
          <w:t>Complementary Law No. 224/2025</w:t>
        </w:r>
      </w:hyperlink>
      <w:r>
        <w:t>.</w:t>
      </w:r>
    </w:p>
    <w:p>
      <w:pPr>
        <w:pStyle w:val="ListBullet"/>
      </w:pPr>
      <w:hyperlink r:id="rId12">
        <w:r>
          <w:rPr>
            <w:color w:val="1F4E78"/>
            <w:u w:val="single"/>
          </w:rPr>
          <w:t>Law No. 14,596/2023</w:t>
        </w:r>
      </w:hyperlink>
      <w:r>
        <w:t>; IN RFB No. 2,161/2023 as amended by IN RFB No. 2,246/2024; RFB documentation instructions.</w:t>
      </w:r>
    </w:p>
    <w:p>
      <w:pPr>
        <w:pStyle w:val="ListBullet"/>
      </w:pPr>
      <w:r>
        <w:t>Brazil country dossier and `BRAZIL_IRPJ_CSLL_UPDATE_REGISTER_2017_2026.md` in `01_Brazil`.</w:t>
      </w:r>
    </w:p>
    <w:sectPr w:rsidR="00FC693F" w:rsidRPr="0006063C" w:rsidSect="00034616">
      <w:pgSz w:w="12240" w:h="15840"/>
      <w:pgMar w:top="893" w:right="979" w:bottom="893" w:left="97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Aptos" w:hAnsi="Aptos"/>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20" w:after="100"/>
      <w:outlineLvl w:val="0"/>
    </w:pPr>
    <w:rPr>
      <w:rFonts w:asciiTheme="majorHAnsi" w:eastAsiaTheme="majorEastAsia" w:hAnsiTheme="majorHAnsi" w:cstheme="majorBidi" w:ascii="Aptos" w:hAnsi="Aptos"/>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80" w:line="240" w:lineRule="auto" w:before="0"/>
      <w:contextualSpacing/>
    </w:pPr>
    <w:rPr>
      <w:rFonts w:asciiTheme="majorHAnsi" w:eastAsiaTheme="majorEastAsia" w:hAnsiTheme="majorHAnsi" w:cstheme="majorBidi" w:ascii="Aptos Display" w:hAnsi="Aptos Display"/>
      <w:b/>
      <w:color w:val="000000"/>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planalto.gov.br/ccivil_03/_ato2015-2018/2018/decreto/d9580.htm" TargetMode="External"/><Relationship Id="rId10" Type="http://schemas.openxmlformats.org/officeDocument/2006/relationships/hyperlink" Target="https://www.planalto.gov.br/ccivil_03/_ato2023-2026/2025/lei/l15270.htm" TargetMode="External"/><Relationship Id="rId11" Type="http://schemas.openxmlformats.org/officeDocument/2006/relationships/hyperlink" Target="https://www.planalto.gov.br/ccivil_03/leis/lcp/lcp224.htm" TargetMode="External"/><Relationship Id="rId12" Type="http://schemas.openxmlformats.org/officeDocument/2006/relationships/hyperlink" Target="https://www.planalto.gov.br/ccivil_03/_ato2023-2026/2023/lei/l14596.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Brazil International Tax and Transfer Pricing Review</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